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120" w:lineRule="auto"/>
        <w:rPr/>
      </w:pPr>
      <w:r w:rsidDel="00000000" w:rsidR="00000000" w:rsidRPr="00000000">
        <w:rPr/>
        <w:drawing>
          <wp:inline distB="0" distT="0" distL="0" distR="0">
            <wp:extent cx="1512000" cy="364140"/>
            <wp:effectExtent b="0" l="0" r="0" t="0"/>
            <wp:docPr id="10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3641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bookmarkStart w:colFirst="0" w:colLast="0" w:name="bookmark=id.jwtwknt893e0" w:id="0"/>
    <w:bookmarkEnd w:id="0"/>
    <w:bookmarkStart w:colFirst="0" w:colLast="0" w:name="bookmark=id.5lpotmnz974" w:id="1"/>
    <w:bookmarkEnd w:id="1"/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heading=h.8872ufe46myf" w:id="2"/>
      <w:bookmarkEnd w:id="2"/>
      <w:r w:rsidDel="00000000" w:rsidR="00000000" w:rsidRPr="00000000">
        <w:rPr>
          <w:sz w:val="48"/>
          <w:szCs w:val="48"/>
          <w:rtl w:val="0"/>
        </w:rPr>
        <w:t xml:space="preserve">Pracovní list – Emil 3</w:t>
      </w:r>
      <w:r w:rsidDel="00000000" w:rsidR="00000000" w:rsidRPr="00000000">
        <w:rPr>
          <w:rtl w:val="0"/>
        </w:rPr>
      </w:r>
    </w:p>
    <w:bookmarkStart w:colFirst="0" w:colLast="0" w:name="bookmark=id.g7bhe8rvlmnz" w:id="3"/>
    <w:bookmarkEnd w:id="3"/>
    <w:p w:rsidR="00000000" w:rsidDel="00000000" w:rsidP="00000000" w:rsidRDefault="00000000" w:rsidRPr="00000000" w14:paraId="00000003">
      <w:pPr>
        <w:pStyle w:val="Heading2"/>
        <w:rPr/>
      </w:pPr>
      <w:r w:rsidDel="00000000" w:rsidR="00000000" w:rsidRPr="00000000">
        <w:rPr>
          <w:rtl w:val="0"/>
        </w:rPr>
        <w:t xml:space="preserve">Jméno:_________________________Třída:_______Datum:__________</w:t>
      </w:r>
    </w:p>
    <w:bookmarkStart w:colFirst="0" w:colLast="0" w:name="bookmark=id.gu3bxdjbrv4r" w:id="4"/>
    <w:bookmarkEnd w:id="4"/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Identifikace součástek</w:t>
      </w:r>
    </w:p>
    <w:tbl>
      <w:tblPr>
        <w:tblStyle w:val="Table1"/>
        <w:tblW w:w="7087.0" w:type="dxa"/>
        <w:jc w:val="left"/>
        <w:tblInd w:w="-108.0" w:type="dxa"/>
        <w:tblBorders>
          <w:top w:color="deded9" w:space="0" w:sz="4" w:val="single"/>
          <w:left w:color="deded9" w:space="0" w:sz="4" w:val="single"/>
          <w:bottom w:color="deded9" w:space="0" w:sz="4" w:val="single"/>
          <w:right w:color="deded9" w:space="0" w:sz="4" w:val="single"/>
          <w:insideH w:color="deded9" w:space="0" w:sz="4" w:val="single"/>
          <w:insideV w:color="deded9" w:space="0" w:sz="4" w:val="single"/>
        </w:tblBorders>
        <w:tblLayout w:type="fixed"/>
        <w:tblLook w:val="0020"/>
      </w:tblPr>
      <w:tblGrid>
        <w:gridCol w:w="1330"/>
        <w:gridCol w:w="4145"/>
        <w:gridCol w:w="1612"/>
        <w:tblGridChange w:id="0">
          <w:tblGrid>
            <w:gridCol w:w="1330"/>
            <w:gridCol w:w="4145"/>
            <w:gridCol w:w="1612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Označení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Typ součástky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Hodnota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DC1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Souosý napájecí konektor 5,5–2,1 mm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5V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D1, D2, D3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LED dioda (</w:t>
            </w:r>
            <w:r w:rsidDel="00000000" w:rsidR="00000000" w:rsidRPr="00000000">
              <w:rPr>
                <w:rtl w:val="0"/>
              </w:rPr>
              <w:t xml:space="preserve">žlutá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LDR1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Fotorezistor (GL5516)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R1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Rezistor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? (viz úloha 2)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R2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Rezistor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kΩ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PB1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Tlačítko (mechanický spínač)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L1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Cívka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2,2 µH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TP1–TP4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Testovací (měřicí) body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t24u77o8j3h9" w:id="5"/>
    <w:bookmarkEnd w:id="5"/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1. Měření na větvi R2–D3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desce je zapojena větev: V1 → R2 → D3 (LED) → GND.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Multimetrem změřte napětí na konektoru DC1.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U1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úbytek napětí přímo na LED diodě D3.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napětí U(R2) přímo na rezistoru R2.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U(R2) =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proud, který protéká uzlem V4.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= ____________________ mA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Kontrola: U(R2) + Uf ≈ ____________________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Bonus – deska odpojená od napájení: multimetrem v režimu “test diody” změřte úbytek napětí na D1 a D2. Porovnejte s D3.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Uf(D1) = ____________________ V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Uf(D2) = ____________________ V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j3xmrzdkywns" w:id="6"/>
    <w:bookmarkEnd w:id="6"/>
    <w:p w:rsidR="00000000" w:rsidDel="00000000" w:rsidP="00000000" w:rsidRDefault="00000000" w:rsidRPr="00000000" w14:paraId="0000002E">
      <w:pPr>
        <w:pStyle w:val="Heading2"/>
        <w:rPr/>
      </w:pPr>
      <w:r w:rsidDel="00000000" w:rsidR="00000000" w:rsidRPr="00000000">
        <w:rPr>
          <w:rtl w:val="0"/>
        </w:rPr>
        <w:t xml:space="preserve">2. Neznámý rezistor R1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technické dokumentaci desky není u rezistoru R1 uvedena jeho hodnota. Určete ji měřením více nezávislými způsoby.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Připojte desku k napájení. Přepněte multimetr do proudového režimu a jeho hroty přiložte mezi testovací bod TP1 a GND. Odečtěte proud I.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= ____________________ mA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R1 (vnitřní odpor ampérmetru je proti R1 zanedbatelný).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R1 (výpočet z TP1)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Další způsob: propojte ampérmetrem přímo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testovací body TP1 a TP2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(vznikne obvod V1 → R1 → D1 → GND). Změřte proud I2 a ověřte, že D1 svítí.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I2 = ____________________ mA</w:t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úbytek napětí na D1 a dalším způsobem vypočítejte R1.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R1 (výpočet z TP1–TP2) = ____________________ Ω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Odpojte desku od napájení. Ohmmetrem změřte odpor R1 přímo na jeho pájecích ploškách.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360" w:right="0" w:firstLine="36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R1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____________________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Ω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Porovnejte s úkolem 1. Uveďte možné důvody rozdílu.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4ctcfdh2vr8z" w:id="7"/>
    <w:bookmarkEnd w:id="7"/>
    <w:p w:rsidR="00000000" w:rsidDel="00000000" w:rsidP="00000000" w:rsidRDefault="00000000" w:rsidRPr="00000000" w14:paraId="00000040">
      <w:pPr>
        <w:pStyle w:val="Heading2"/>
        <w:rPr/>
      </w:pPr>
      <w:r w:rsidDel="00000000" w:rsidR="00000000" w:rsidRPr="00000000">
        <w:rPr>
          <w:rtl w:val="0"/>
        </w:rPr>
        <w:t xml:space="preserve">3. Fotorezistor LDR1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Fotorezistor (LDR) je součástka, jejíž odpor se mění v závislosti na intenzitě dopadajícího světla.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odpor LDR1 ohmmetrem při běžném osvětlení místnosti.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R(LDR1, běžné světlo)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Zakryjte LDR1 (prstem nebo tmavou látkou) a měření zopakujte.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R(LDR1, tma)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Přisviťte na LDR1 zblízka svítilnou/mobilním telefonem a měření zopakujte.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R(LDR1, silné světlo)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Uveďte alespoň dva příklady praktického využití fotorezistorů a odůvodněte.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</w:t>
        <w:br w:type="textWrapping"/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zapnutým napájením přiložte ampérmetr přímo mezi testovací bod TP3 a GND. Při běžném osvětlení odečtěte proud I.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= ____________________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Vypočítejte odpor R(LDR1) a porovnejte s úkolem 1.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R(LDR1)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Další způsob: propojte ampérmetrem přímo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testovací body TP3 a TP4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(vznikne obvod V1 → LDR1 → D2 → GND). Při běžném osvětlení změřte proud I3 a ověřte, že D2 svítí.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I3 = ____________________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Změřte úbytek napětí D2 a dalším způsobem vypočítejte R(LDR1).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Výpočet: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360" w:lineRule="auto"/>
        <w:ind w:left="0" w:right="0" w:firstLine="72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R(LDR1, výpočet z TP3–TP4) = ____________________ Ω</w:t>
      </w:r>
    </w:p>
    <w:p w:rsidR="00000000" w:rsidDel="00000000" w:rsidP="00000000" w:rsidRDefault="00000000" w:rsidRPr="00000000" w14:paraId="00000054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ozdwqlhfffdq" w:id="8"/>
    <w:bookmarkEnd w:id="8"/>
    <w:p w:rsidR="00000000" w:rsidDel="00000000" w:rsidP="00000000" w:rsidRDefault="00000000" w:rsidRPr="00000000" w14:paraId="00000055">
      <w:pPr>
        <w:pStyle w:val="Heading2"/>
        <w:rPr/>
      </w:pPr>
      <w:r w:rsidDel="00000000" w:rsidR="00000000" w:rsidRPr="00000000">
        <w:rPr>
          <w:rtl w:val="0"/>
        </w:rPr>
        <w:t xml:space="preserve">4. Tlačítko PB1 a cívka L1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Ohmmetrem změřte odpor mezi vývody tlačítka PB1, když je uvolněné (nestisknuté).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R(PB1, uvolněné) = ____________________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Měření zopakujte se stisknutým tlačítkem.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R(PB1, stisknuté) = ____________________ 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Proč po stisknutí tlačítka PB1, přestane svítí LED D3?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</w:t>
        <w:br w:type="textWrapping"/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 vyjadřuje indukčnost cívky a v jaké jednotce se měří? Jakou hodnotu indukčnosti má cívka L1 na desce?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</w:t>
        <w:br w:type="textWrapping"/>
        <w:t xml:space="preserve">_______________________________________________________________________________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L1 = ____________________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bookmarkStart w:colFirst="0" w:colLast="0" w:name="bookmark=id.7n8j6fns04nv" w:id="9"/>
    <w:bookmarkEnd w:id="9"/>
    <w:p w:rsidR="00000000" w:rsidDel="00000000" w:rsidP="00000000" w:rsidRDefault="00000000" w:rsidRPr="00000000" w14:paraId="00000060">
      <w:pPr>
        <w:pStyle w:val="Heading2"/>
        <w:rPr/>
      </w:pPr>
      <w:r w:rsidDel="00000000" w:rsidR="00000000" w:rsidRPr="00000000">
        <w:rPr>
          <w:rtl w:val="0"/>
        </w:rPr>
        <w:t xml:space="preserve">5. LED diody D1–D3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Prohlédněte si LED diody. Podle čeho poznáme anodu a katodu?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 </w:t>
        <w:br w:type="textWrapping"/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Vysvětlete, proč se do série s LED diodou vždy zapojuje omezovací rezistor. Co by se stalo, kdyby v obvodu chyběl?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bookmarkStart w:colFirst="0" w:colLast="0" w:name="bookmark=id.5xdzukgyj9d8" w:id="10"/>
    <w:bookmarkEnd w:id="10"/>
    <w:p w:rsidR="00000000" w:rsidDel="00000000" w:rsidP="00000000" w:rsidRDefault="00000000" w:rsidRPr="00000000" w14:paraId="00000065">
      <w:pPr>
        <w:pStyle w:val="Heading2"/>
        <w:rPr/>
      </w:pPr>
      <w:r w:rsidDel="00000000" w:rsidR="00000000" w:rsidRPr="00000000">
        <w:rPr>
          <w:rtl w:val="0"/>
        </w:rPr>
        <w:t xml:space="preserve">6. Souhrnná úloha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Nakreslete elektrické schéma 3. větve od začátku, tedy V1-R2-D3-L1-PB1-GND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  <w:br w:type="textWrapping"/>
        <w:t xml:space="preserve"> </w:t>
        <w:br w:type="textWrapping"/>
        <w:t xml:space="preserve"> </w:t>
        <w:br w:type="textWrapping"/>
        <w:t xml:space="preserve"> </w:t>
        <w:br w:type="textWrapping"/>
        <w:t xml:space="preserve"> 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Sečtěte proudy jednotlivých větví z předchozích úloh a odhadněte celkový proud, který deska odebírá z konektoru DC1.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2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I(celkem) = ____________________ 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360" w:right="0" w:hanging="36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Bonus: Jaký je maximální proud napájecího adaptéru. Má dostatečnou rezervu i pro případ, že by byly aktivní všechny větve současně?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72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Odpověď:</w:t>
      </w: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1d1d1b" w:val="clear"/>
        <w:spacing w:after="240" w:before="120" w:lineRule="auto"/>
        <w:jc w:val="center"/>
        <w:rPr/>
      </w:pPr>
      <w:r w:rsidDel="00000000" w:rsidR="00000000" w:rsidRPr="00000000">
        <w:rPr>
          <w:b w:val="1"/>
          <w:bCs w:val="1"/>
          <w:color w:val="fefdf9"/>
          <w:sz w:val="32"/>
          <w:szCs w:val="32"/>
          <w:rtl w:val="0"/>
        </w:rPr>
        <w:t xml:space="preserve">Klíč k řešení – pro vyučujícího</w:t>
      </w:r>
      <w:r w:rsidDel="00000000" w:rsidR="00000000" w:rsidRPr="00000000">
        <w:rPr>
          <w:rtl w:val="0"/>
        </w:rPr>
      </w:r>
    </w:p>
    <w:bookmarkStart w:colFirst="0" w:colLast="0" w:name="bookmark=id.1gk8lgk82zoz" w:id="11"/>
    <w:bookmarkEnd w:id="11"/>
    <w:p w:rsidR="00000000" w:rsidDel="00000000" w:rsidP="00000000" w:rsidRDefault="00000000" w:rsidRPr="00000000" w14:paraId="0000006E">
      <w:pPr>
        <w:pStyle w:val="Heading2"/>
        <w:rPr/>
      </w:pPr>
      <w:r w:rsidDel="00000000" w:rsidR="00000000" w:rsidRPr="00000000">
        <w:rPr>
          <w:rtl w:val="0"/>
        </w:rPr>
        <w:t xml:space="preserve">1. Měření na větvi R2–D3</w:t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U1 by mělo být naměřeno cca 5 V (tolerance dle zdroje, obvykle 4,9–5,1 V).</w:t>
      </w:r>
    </w:p>
    <w:p w:rsidR="00000000" w:rsidDel="00000000" w:rsidP="00000000" w:rsidRDefault="00000000" w:rsidRPr="00000000" w14:paraId="00000070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Uf červené LED bývá typicky 1,8–2,2 V.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U(R2) je přibližně U1 − Uf, tedy orientačně 2,8–3,2 V.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I = U(R2) / R2 ≈ 2,8–3,2 mA. Součet U(R2) + Uf by se měl blížit naměřenému U1 (kontrola konzistence měření).</w:t>
      </w:r>
    </w:p>
    <w:p w:rsidR="00000000" w:rsidDel="00000000" w:rsidP="00000000" w:rsidRDefault="00000000" w:rsidRPr="00000000" w14:paraId="00000073">
      <w:pPr>
        <w:numPr>
          <w:ilvl w:val="0"/>
          <w:numId w:val="7"/>
        </w:numPr>
        <w:ind w:left="360" w:hanging="360"/>
        <w:rPr/>
      </w:pPr>
      <w:r w:rsidDel="00000000" w:rsidR="00000000" w:rsidRPr="00000000">
        <w:rPr>
          <w:rtl w:val="0"/>
        </w:rPr>
        <w:t xml:space="preserve">D1 a D2 jsou přístupné přes TP2 a TP4; samotné TP2/TP4 vůči GND bez dalšího propojení nemají vlastní zdroj napětí, proud zde zajišťuje jen multimetr v diodovém testu (běžně cca 1 mA), proto se zde neodečítá proud, jen napěťový úbytek. Naměřené hodnoty by měly být blízké D3 (stejný typ červené LED, typicky 1,8–2,2 V). Propojením s TP1 (viz úloha 5–6 v sekci 2) ale reálný proud z V1 protéci může.</w:t>
      </w:r>
    </w:p>
    <w:bookmarkStart w:colFirst="0" w:colLast="0" w:name="bookmark=id.a1zn0uqpfglh" w:id="12"/>
    <w:bookmarkEnd w:id="12"/>
    <w:p w:rsidR="00000000" w:rsidDel="00000000" w:rsidP="00000000" w:rsidRDefault="00000000" w:rsidRPr="00000000" w14:paraId="00000074">
      <w:pPr>
        <w:pStyle w:val="Heading2"/>
        <w:rPr/>
      </w:pPr>
      <w:r w:rsidDel="00000000" w:rsidR="00000000" w:rsidRPr="00000000">
        <w:rPr>
          <w:rtl w:val="0"/>
        </w:rPr>
        <w:t xml:space="preserve">2. Neznámý rezistor R1</w:t>
      </w:r>
    </w:p>
    <w:p w:rsidR="00000000" w:rsidDel="00000000" w:rsidP="00000000" w:rsidRDefault="00000000" w:rsidRPr="00000000" w14:paraId="00000075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Naměřený proud I bude záviset na skutečné hodnotě R1 (řádově jednotky mA, protože R1 je patrně podobného řádu jako R2).</w:t>
      </w:r>
    </w:p>
    <w:p w:rsidR="00000000" w:rsidDel="00000000" w:rsidP="00000000" w:rsidRDefault="00000000" w:rsidRPr="00000000" w14:paraId="00000076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R1 ≈ U1 / I (zjednodušení platí, protože vnitřní odpor ampérmetru v proudovém rozsahu je typicky jen jednotky ohmů až desetiny ohmu, zanedbatelné proti R1 v řádu kΩ).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ind w:left="360" w:hanging="360"/>
        <w:rPr/>
      </w:pPr>
      <w:r w:rsidDel="00000000" w:rsidR="00000000" w:rsidRPr="00000000">
        <w:rPr>
          <w:rtl w:val="0"/>
        </w:rPr>
        <w:t xml:space="preserve">Hodnota z úkolu 3 by se měla přibližně shodovat s přímým měřením ohmmetrem z úkolu 1 (v rámci tolerance rezistoru, obvykle ±1–5 %). Možné příčiny rozdílu: vnitřní odpor ampérmetru (byť malý, není nulový), přechodové/kontaktní odpory hrotů na TP1, výrobní tolerance R1.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5)-6) Propojením TP1–TP2 vznikne obvod V1–R1–D1–GND, tedy stejný princip jako R2–D3 v sekci 1. D1 by měla při proudu v řádu jednotek mA viditelně svítit. R1 = (U1 − Uf)/I2, kde Uf ≈ 1,8–2,2 V – výsledek by se měl shodovat s úkoly 1 a 3 v rámci tolerance. Pokud se výrazně liší, zkontrolujte polaritu zapojení ampérmetru a D1 (dioda musí být v propustném směru, jinak neteče prakticky žádný proud).</w:t>
      </w:r>
    </w:p>
    <w:bookmarkStart w:colFirst="0" w:colLast="0" w:name="bookmark=id.ct1mmmrh7hm8" w:id="13"/>
    <w:bookmarkEnd w:id="13"/>
    <w:p w:rsidR="00000000" w:rsidDel="00000000" w:rsidP="00000000" w:rsidRDefault="00000000" w:rsidRPr="00000000" w14:paraId="00000079">
      <w:pPr>
        <w:pStyle w:val="Heading2"/>
        <w:rPr/>
      </w:pPr>
      <w:r w:rsidDel="00000000" w:rsidR="00000000" w:rsidRPr="00000000">
        <w:rPr>
          <w:rtl w:val="0"/>
        </w:rPr>
        <w:t xml:space="preserve">3. Fotorezistor LDR1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Očekávaný trend: ve tmě odpor LDR výrazně vzroste (typicky z jednotek kΩ na desítky až stovky kΩ), při silném přisvícení naopak výrazně klesne (často pod 1 kΩ) – odpor LDR klesá s rostoucí intenzitou světla.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Příklady využití: soumrakové spínače veřejného osvětlení, automatické stmívání displejů, bezpečnostní čidla, expozimetry.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6)-7) Postup je analogický k R1: R(LDR1) ≈ U1 / I naměřeného přes TP3. Hodnota by se měla přibližně shodovat s ohmmetrem naměřeným odporem LDR1 při stejném osvětlení z úkolu 1 (v běžném světle řádově jednotky kΩ).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8)-9) Propojením TP3–TP4 vznikne obvod V1–LDR1–D2–GND, stejný princip jako R1–D1 (sekce 2) a R2–D3 (sekce 1). D2 by měla svítit, jas se bude odvíjet od aktuálního odporu LDR1. R(LDR1) = (U1 − Uf)/I3, kde Uf ≈ 1,8–2,2 V – výsledek by se měl shodovat s úkoly 1 a 7 v rámci tolerance/přesnosti měření. Po zakrytí LDR1 odpor prudce vzroste, proud klesne a D2 znatelně ztlumí nebo zhasne (ukazuje LDR1 jako proudově řídicí prvek pro LED v reálném provozu).</w:t>
      </w:r>
    </w:p>
    <w:bookmarkStart w:colFirst="0" w:colLast="0" w:name="bookmark=id.mdple7a150it" w:id="14"/>
    <w:bookmarkEnd w:id="14"/>
    <w:p w:rsidR="00000000" w:rsidDel="00000000" w:rsidP="00000000" w:rsidRDefault="00000000" w:rsidRPr="00000000" w14:paraId="0000007E">
      <w:pPr>
        <w:pStyle w:val="Heading2"/>
        <w:rPr/>
      </w:pPr>
      <w:r w:rsidDel="00000000" w:rsidR="00000000" w:rsidRPr="00000000">
        <w:rPr>
          <w:rtl w:val="0"/>
        </w:rPr>
        <w:t xml:space="preserve">4. Tlačítko PB1 a cívka L1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Nestisknuté tlačítko: obvod rozpojen, ohmmetr ukáže nekonečný odpor (přerušený obvod/OL). Stisknuté tlačítko: kontakt sepnutý, odpor by se měl blížit 0 Ω.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Stejnosměrný odpor cívky L1 by měl být velmi nízký (typicky zlomky až jednotky ohmů) – odpor vodiče cívky nesouvisí s indukčností, ta popisuje schopnost cívky bránit změnám proudu pomocí magnetického pole, nikoli velikost jejího ohmického odporu.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Indukčnost vyjadřuje schopnost cívky vytvářet magnetické pole a bránit změnám procházejícího proudu; jednotka je henry [H]. L1 = 2,2 µH.</w:t>
      </w:r>
    </w:p>
    <w:bookmarkStart w:colFirst="0" w:colLast="0" w:name="bookmark=id.3978pti7odfo" w:id="15"/>
    <w:bookmarkEnd w:id="15"/>
    <w:p w:rsidR="00000000" w:rsidDel="00000000" w:rsidP="00000000" w:rsidRDefault="00000000" w:rsidRPr="00000000" w14:paraId="00000082">
      <w:pPr>
        <w:pStyle w:val="Heading2"/>
        <w:rPr/>
      </w:pPr>
      <w:r w:rsidDel="00000000" w:rsidR="00000000" w:rsidRPr="00000000">
        <w:rPr>
          <w:rtl w:val="0"/>
        </w:rPr>
        <w:t xml:space="preserve">5. LED diody D1–D3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Polarita: delší vývod / plochá strana pouzdra označuje katodu nebo anodu podle konkrétního typu pouzdra (u této desky jsou + a − piny vyznačeny přímo na potisku DPS).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Naměřené hodnoty Uf u D1, D2, D3 by měly být přibližně stejné (stejný typ LED), typicky 1,8–2,2 V.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Při zapojení v závěrném směru LED nesvítí (v běžném rozsahu napětí neprochází proud; při překročení průrazného napětí by mohla být zničena).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Omezovací rezistor omezuje proud tekoucí diodou na bezpečnou hodnotu – bez něj by proud byl omezen jen malým vnitřním odporem LED a dioda by se okamžitě zničila.</w:t>
      </w:r>
    </w:p>
    <w:bookmarkStart w:colFirst="0" w:colLast="0" w:name="bookmark=id.ivn67nc0cegf" w:id="16"/>
    <w:bookmarkEnd w:id="16"/>
    <w:p w:rsidR="00000000" w:rsidDel="00000000" w:rsidP="00000000" w:rsidRDefault="00000000" w:rsidRPr="00000000" w14:paraId="00000087">
      <w:pPr>
        <w:pStyle w:val="Heading2"/>
        <w:rPr/>
      </w:pPr>
      <w:r w:rsidDel="00000000" w:rsidR="00000000" w:rsidRPr="00000000">
        <w:rPr>
          <w:rtl w:val="0"/>
        </w:rPr>
        <w:t xml:space="preserve">6. Souhrnná úloha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Schéma: DC1(+) — R2 — D3(anoda) — D3(katoda) — GND — DC1(−), tedy jednoduchý sériový obvod zdroj–rezistor–dioda.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Odhad celkového proudu = I(R2-D3) + I(R1) + I(LDR1) z předchozích úloh (řádově jednotky mA – větev LDR1 se může výrazně lišit podle osvětlení, použijte hodnotu naměřenou při běžném osvětlení). Připomeňte, že větev TP2/TP4 (D1, D2) se do součtu nezapočítává – tou při běžném provozu neteče žádný proud z V1. Adaptér by měl mít proudovou rezervu nad tímto odhadem.</w:t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)"/>
      <w:lvlJc w:val="left"/>
      <w:pPr>
        <w:ind w:left="360" w:hanging="360"/>
      </w:pPr>
      <w:rPr/>
    </w:lvl>
    <w:lvl w:ilvl="1">
      <w:start w:val="6"/>
      <w:numFmt w:val="decimal"/>
      <w:lvlText w:val="%2)"/>
      <w:lvlJc w:val="left"/>
      <w:pPr>
        <w:ind w:left="1080" w:hanging="360"/>
      </w:pPr>
      <w:rPr/>
    </w:lvl>
    <w:lvl w:ilvl="2">
      <w:start w:val="6"/>
      <w:numFmt w:val="decimal"/>
      <w:lvlText w:val="%3)"/>
      <w:lvlJc w:val="left"/>
      <w:pPr>
        <w:ind w:left="1800" w:hanging="360"/>
      </w:pPr>
      <w:rPr/>
    </w:lvl>
    <w:lvl w:ilvl="3">
      <w:start w:val="6"/>
      <w:numFmt w:val="decimal"/>
      <w:lvlText w:val="%4)"/>
      <w:lvlJc w:val="left"/>
      <w:pPr>
        <w:ind w:left="2520" w:hanging="360"/>
      </w:pPr>
      <w:rPr/>
    </w:lvl>
    <w:lvl w:ilvl="4">
      <w:start w:val="6"/>
      <w:numFmt w:val="decimal"/>
      <w:lvlText w:val="%5)"/>
      <w:lvlJc w:val="left"/>
      <w:pPr>
        <w:ind w:left="3240" w:hanging="360"/>
      </w:pPr>
      <w:rPr/>
    </w:lvl>
    <w:lvl w:ilvl="5">
      <w:start w:val="6"/>
      <w:numFmt w:val="decimal"/>
      <w:lvlText w:val="%6)"/>
      <w:lvlJc w:val="left"/>
      <w:pPr>
        <w:ind w:left="3960" w:hanging="360"/>
      </w:pPr>
      <w:rPr/>
    </w:lvl>
    <w:lvl w:ilvl="6">
      <w:start w:val="6"/>
      <w:numFmt w:val="decimal"/>
      <w:lvlText w:val="%7)"/>
      <w:lvlJc w:val="left"/>
      <w:pPr>
        <w:ind w:left="4680" w:hanging="360"/>
      </w:pPr>
      <w:rPr/>
    </w:lvl>
    <w:lvl w:ilvl="7">
      <w:start w:val="6"/>
      <w:numFmt w:val="decimal"/>
      <w:lvlText w:val="%8)"/>
      <w:lvlJc w:val="left"/>
      <w:pPr>
        <w:ind w:left="5400" w:hanging="360"/>
      </w:pPr>
      <w:rPr/>
    </w:lvl>
    <w:lvl w:ilvl="8">
      <w:start w:val="6"/>
      <w:numFmt w:val="decimal"/>
      <w:lvlText w:val="%9)"/>
      <w:lvlJc w:val="left"/>
      <w:pPr>
        <w:ind w:left="612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3">
    <w:lvl w:ilvl="0">
      <w:start w:val="2"/>
      <w:numFmt w:val="decimal"/>
      <w:lvlText w:val="%1)"/>
      <w:lvlJc w:val="left"/>
      <w:pPr>
        <w:ind w:left="360" w:hanging="360"/>
      </w:pPr>
      <w:rPr/>
    </w:lvl>
    <w:lvl w:ilvl="1">
      <w:start w:val="2"/>
      <w:numFmt w:val="decimal"/>
      <w:lvlText w:val="%2)"/>
      <w:lvlJc w:val="left"/>
      <w:pPr>
        <w:ind w:left="1080" w:hanging="360"/>
      </w:pPr>
      <w:rPr/>
    </w:lvl>
    <w:lvl w:ilvl="2">
      <w:start w:val="2"/>
      <w:numFmt w:val="decimal"/>
      <w:lvlText w:val="%3)"/>
      <w:lvlJc w:val="left"/>
      <w:pPr>
        <w:ind w:left="1800" w:hanging="360"/>
      </w:pPr>
      <w:rPr/>
    </w:lvl>
    <w:lvl w:ilvl="3">
      <w:start w:val="2"/>
      <w:numFmt w:val="decimal"/>
      <w:lvlText w:val="%4)"/>
      <w:lvlJc w:val="left"/>
      <w:pPr>
        <w:ind w:left="2520" w:hanging="360"/>
      </w:pPr>
      <w:rPr/>
    </w:lvl>
    <w:lvl w:ilvl="4">
      <w:start w:val="2"/>
      <w:numFmt w:val="decimal"/>
      <w:lvlText w:val="%5)"/>
      <w:lvlJc w:val="left"/>
      <w:pPr>
        <w:ind w:left="3240" w:hanging="360"/>
      </w:pPr>
      <w:rPr/>
    </w:lvl>
    <w:lvl w:ilvl="5">
      <w:start w:val="2"/>
      <w:numFmt w:val="decimal"/>
      <w:lvlText w:val="%6)"/>
      <w:lvlJc w:val="left"/>
      <w:pPr>
        <w:ind w:left="3960" w:hanging="360"/>
      </w:pPr>
      <w:rPr/>
    </w:lvl>
    <w:lvl w:ilvl="6">
      <w:start w:val="2"/>
      <w:numFmt w:val="decimal"/>
      <w:lvlText w:val="%7)"/>
      <w:lvlJc w:val="left"/>
      <w:pPr>
        <w:ind w:left="4680" w:hanging="360"/>
      </w:pPr>
      <w:rPr/>
    </w:lvl>
    <w:lvl w:ilvl="7">
      <w:start w:val="2"/>
      <w:numFmt w:val="decimal"/>
      <w:lvlText w:val="%8)"/>
      <w:lvlJc w:val="left"/>
      <w:pPr>
        <w:ind w:left="5400" w:hanging="360"/>
      </w:pPr>
      <w:rPr/>
    </w:lvl>
    <w:lvl w:ilvl="8">
      <w:start w:val="2"/>
      <w:numFmt w:val="decimal"/>
      <w:lvlText w:val="%9)"/>
      <w:lvlJc w:val="left"/>
      <w:pPr>
        <w:ind w:left="6120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5">
    <w:lvl w:ilvl="0">
      <w:start w:val="2"/>
      <w:numFmt w:val="decimal"/>
      <w:lvlText w:val="%1)"/>
      <w:lvlJc w:val="left"/>
      <w:pPr>
        <w:ind w:left="360" w:hanging="360"/>
      </w:pPr>
      <w:rPr/>
    </w:lvl>
    <w:lvl w:ilvl="1">
      <w:start w:val="2"/>
      <w:numFmt w:val="decimal"/>
      <w:lvlText w:val="%2)"/>
      <w:lvlJc w:val="left"/>
      <w:pPr>
        <w:ind w:left="1080" w:hanging="360"/>
      </w:pPr>
      <w:rPr/>
    </w:lvl>
    <w:lvl w:ilvl="2">
      <w:start w:val="2"/>
      <w:numFmt w:val="decimal"/>
      <w:lvlText w:val="%3)"/>
      <w:lvlJc w:val="left"/>
      <w:pPr>
        <w:ind w:left="1800" w:hanging="360"/>
      </w:pPr>
      <w:rPr/>
    </w:lvl>
    <w:lvl w:ilvl="3">
      <w:start w:val="2"/>
      <w:numFmt w:val="decimal"/>
      <w:lvlText w:val="%4)"/>
      <w:lvlJc w:val="left"/>
      <w:pPr>
        <w:ind w:left="2520" w:hanging="360"/>
      </w:pPr>
      <w:rPr/>
    </w:lvl>
    <w:lvl w:ilvl="4">
      <w:start w:val="2"/>
      <w:numFmt w:val="decimal"/>
      <w:lvlText w:val="%5)"/>
      <w:lvlJc w:val="left"/>
      <w:pPr>
        <w:ind w:left="3240" w:hanging="360"/>
      </w:pPr>
      <w:rPr/>
    </w:lvl>
    <w:lvl w:ilvl="5">
      <w:start w:val="2"/>
      <w:numFmt w:val="decimal"/>
      <w:lvlText w:val="%6)"/>
      <w:lvlJc w:val="left"/>
      <w:pPr>
        <w:ind w:left="3960" w:hanging="360"/>
      </w:pPr>
      <w:rPr/>
    </w:lvl>
    <w:lvl w:ilvl="6">
      <w:start w:val="2"/>
      <w:numFmt w:val="decimal"/>
      <w:lvlText w:val="%7)"/>
      <w:lvlJc w:val="left"/>
      <w:pPr>
        <w:ind w:left="4680" w:hanging="360"/>
      </w:pPr>
      <w:rPr/>
    </w:lvl>
    <w:lvl w:ilvl="7">
      <w:start w:val="2"/>
      <w:numFmt w:val="decimal"/>
      <w:lvlText w:val="%8)"/>
      <w:lvlJc w:val="left"/>
      <w:pPr>
        <w:ind w:left="5400" w:hanging="360"/>
      </w:pPr>
      <w:rPr/>
    </w:lvl>
    <w:lvl w:ilvl="8">
      <w:start w:val="2"/>
      <w:numFmt w:val="decimal"/>
      <w:lvlText w:val="%9)"/>
      <w:lvlJc w:val="left"/>
      <w:pPr>
        <w:ind w:left="6120" w:hanging="360"/>
      </w:pPr>
      <w:rPr/>
    </w:lvl>
  </w:abstractNum>
  <w:abstractNum w:abstractNumId="6">
    <w:lvl w:ilvl="0">
      <w:start w:val="3"/>
      <w:numFmt w:val="decimal"/>
      <w:lvlText w:val="%1)"/>
      <w:lvlJc w:val="left"/>
      <w:pPr>
        <w:ind w:left="360" w:hanging="360"/>
      </w:pPr>
      <w:rPr/>
    </w:lvl>
    <w:lvl w:ilvl="1">
      <w:start w:val="3"/>
      <w:numFmt w:val="decimal"/>
      <w:lvlText w:val="%2)"/>
      <w:lvlJc w:val="left"/>
      <w:pPr>
        <w:ind w:left="1080" w:hanging="360"/>
      </w:pPr>
      <w:rPr/>
    </w:lvl>
    <w:lvl w:ilvl="2">
      <w:start w:val="3"/>
      <w:numFmt w:val="decimal"/>
      <w:lvlText w:val="%3)"/>
      <w:lvlJc w:val="left"/>
      <w:pPr>
        <w:ind w:left="1800" w:hanging="360"/>
      </w:pPr>
      <w:rPr/>
    </w:lvl>
    <w:lvl w:ilvl="3">
      <w:start w:val="3"/>
      <w:numFmt w:val="decimal"/>
      <w:lvlText w:val="%4)"/>
      <w:lvlJc w:val="left"/>
      <w:pPr>
        <w:ind w:left="2520" w:hanging="360"/>
      </w:pPr>
      <w:rPr/>
    </w:lvl>
    <w:lvl w:ilvl="4">
      <w:start w:val="3"/>
      <w:numFmt w:val="decimal"/>
      <w:lvlText w:val="%5)"/>
      <w:lvlJc w:val="left"/>
      <w:pPr>
        <w:ind w:left="3240" w:hanging="360"/>
      </w:pPr>
      <w:rPr/>
    </w:lvl>
    <w:lvl w:ilvl="5">
      <w:start w:val="3"/>
      <w:numFmt w:val="decimal"/>
      <w:lvlText w:val="%6)"/>
      <w:lvlJc w:val="left"/>
      <w:pPr>
        <w:ind w:left="3960" w:hanging="360"/>
      </w:pPr>
      <w:rPr/>
    </w:lvl>
    <w:lvl w:ilvl="6">
      <w:start w:val="3"/>
      <w:numFmt w:val="decimal"/>
      <w:lvlText w:val="%7)"/>
      <w:lvlJc w:val="left"/>
      <w:pPr>
        <w:ind w:left="4680" w:hanging="360"/>
      </w:pPr>
      <w:rPr/>
    </w:lvl>
    <w:lvl w:ilvl="7">
      <w:start w:val="3"/>
      <w:numFmt w:val="decimal"/>
      <w:lvlText w:val="%8)"/>
      <w:lvlJc w:val="left"/>
      <w:pPr>
        <w:ind w:left="5400" w:hanging="360"/>
      </w:pPr>
      <w:rPr/>
    </w:lvl>
    <w:lvl w:ilvl="8">
      <w:start w:val="3"/>
      <w:numFmt w:val="decimal"/>
      <w:lvlText w:val="%9)"/>
      <w:lvlJc w:val="left"/>
      <w:pPr>
        <w:ind w:left="6120" w:hanging="360"/>
      </w:pPr>
      <w:rPr/>
    </w:lvl>
  </w:abstractNum>
  <w:abstractNum w:abstractNumId="7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8">
    <w:lvl w:ilvl="0">
      <w:start w:val="2"/>
      <w:numFmt w:val="decimal"/>
      <w:lvlText w:val="%1)"/>
      <w:lvlJc w:val="left"/>
      <w:pPr>
        <w:ind w:left="360" w:hanging="360"/>
      </w:pPr>
      <w:rPr/>
    </w:lvl>
    <w:lvl w:ilvl="1">
      <w:start w:val="2"/>
      <w:numFmt w:val="decimal"/>
      <w:lvlText w:val="%2)"/>
      <w:lvlJc w:val="left"/>
      <w:pPr>
        <w:ind w:left="1080" w:hanging="360"/>
      </w:pPr>
      <w:rPr/>
    </w:lvl>
    <w:lvl w:ilvl="2">
      <w:start w:val="2"/>
      <w:numFmt w:val="decimal"/>
      <w:lvlText w:val="%3)"/>
      <w:lvlJc w:val="left"/>
      <w:pPr>
        <w:ind w:left="1800" w:hanging="360"/>
      </w:pPr>
      <w:rPr/>
    </w:lvl>
    <w:lvl w:ilvl="3">
      <w:start w:val="2"/>
      <w:numFmt w:val="decimal"/>
      <w:lvlText w:val="%4)"/>
      <w:lvlJc w:val="left"/>
      <w:pPr>
        <w:ind w:left="2520" w:hanging="360"/>
      </w:pPr>
      <w:rPr/>
    </w:lvl>
    <w:lvl w:ilvl="4">
      <w:start w:val="2"/>
      <w:numFmt w:val="decimal"/>
      <w:lvlText w:val="%5)"/>
      <w:lvlJc w:val="left"/>
      <w:pPr>
        <w:ind w:left="3240" w:hanging="360"/>
      </w:pPr>
      <w:rPr/>
    </w:lvl>
    <w:lvl w:ilvl="5">
      <w:start w:val="2"/>
      <w:numFmt w:val="decimal"/>
      <w:lvlText w:val="%6)"/>
      <w:lvlJc w:val="left"/>
      <w:pPr>
        <w:ind w:left="3960" w:hanging="360"/>
      </w:pPr>
      <w:rPr/>
    </w:lvl>
    <w:lvl w:ilvl="6">
      <w:start w:val="2"/>
      <w:numFmt w:val="decimal"/>
      <w:lvlText w:val="%7)"/>
      <w:lvlJc w:val="left"/>
      <w:pPr>
        <w:ind w:left="4680" w:hanging="360"/>
      </w:pPr>
      <w:rPr/>
    </w:lvl>
    <w:lvl w:ilvl="7">
      <w:start w:val="2"/>
      <w:numFmt w:val="decimal"/>
      <w:lvlText w:val="%8)"/>
      <w:lvlJc w:val="left"/>
      <w:pPr>
        <w:ind w:left="5400" w:hanging="360"/>
      </w:pPr>
      <w:rPr/>
    </w:lvl>
    <w:lvl w:ilvl="8">
      <w:start w:val="2"/>
      <w:numFmt w:val="decimal"/>
      <w:lvlText w:val="%9)"/>
      <w:lvlJc w:val="left"/>
      <w:pPr>
        <w:ind w:left="6120" w:hanging="360"/>
      </w:pPr>
      <w:rPr/>
    </w:lvl>
  </w:abstractNum>
  <w:abstractNum w:abstractNumId="9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2"/>
      <w:numFmt w:val="decimal"/>
      <w:lvlText w:val="%2)"/>
      <w:lvlJc w:val="left"/>
      <w:pPr>
        <w:ind w:left="1080" w:hanging="360"/>
      </w:pPr>
      <w:rPr/>
    </w:lvl>
    <w:lvl w:ilvl="2">
      <w:start w:val="2"/>
      <w:numFmt w:val="decimal"/>
      <w:lvlText w:val="%3)"/>
      <w:lvlJc w:val="left"/>
      <w:pPr>
        <w:ind w:left="1800" w:hanging="360"/>
      </w:pPr>
      <w:rPr/>
    </w:lvl>
    <w:lvl w:ilvl="3">
      <w:start w:val="2"/>
      <w:numFmt w:val="decimal"/>
      <w:lvlText w:val="%4)"/>
      <w:lvlJc w:val="left"/>
      <w:pPr>
        <w:ind w:left="2520" w:hanging="360"/>
      </w:pPr>
      <w:rPr/>
    </w:lvl>
    <w:lvl w:ilvl="4">
      <w:start w:val="2"/>
      <w:numFmt w:val="decimal"/>
      <w:lvlText w:val="%5)"/>
      <w:lvlJc w:val="left"/>
      <w:pPr>
        <w:ind w:left="3240" w:hanging="360"/>
      </w:pPr>
      <w:rPr/>
    </w:lvl>
    <w:lvl w:ilvl="5">
      <w:start w:val="2"/>
      <w:numFmt w:val="decimal"/>
      <w:lvlText w:val="%6)"/>
      <w:lvlJc w:val="left"/>
      <w:pPr>
        <w:ind w:left="3960" w:hanging="360"/>
      </w:pPr>
      <w:rPr/>
    </w:lvl>
    <w:lvl w:ilvl="6">
      <w:start w:val="2"/>
      <w:numFmt w:val="decimal"/>
      <w:lvlText w:val="%7)"/>
      <w:lvlJc w:val="left"/>
      <w:pPr>
        <w:ind w:left="4680" w:hanging="360"/>
      </w:pPr>
      <w:rPr/>
    </w:lvl>
    <w:lvl w:ilvl="7">
      <w:start w:val="2"/>
      <w:numFmt w:val="decimal"/>
      <w:lvlText w:val="%8)"/>
      <w:lvlJc w:val="left"/>
      <w:pPr>
        <w:ind w:left="5400" w:hanging="360"/>
      </w:pPr>
      <w:rPr/>
    </w:lvl>
    <w:lvl w:ilvl="8">
      <w:start w:val="2"/>
      <w:numFmt w:val="decimal"/>
      <w:lvlText w:val="%9)"/>
      <w:lvlJc w:val="left"/>
      <w:pPr>
        <w:ind w:left="6120" w:hanging="360"/>
      </w:pPr>
      <w:rPr/>
    </w:lvl>
  </w:abstractNum>
  <w:abstractNum w:abstractNumId="10">
    <w:lvl w:ilvl="0">
      <w:start w:val="2"/>
      <w:numFmt w:val="decimal"/>
      <w:lvlText w:val="%1)"/>
      <w:lvlJc w:val="left"/>
      <w:pPr>
        <w:ind w:left="360" w:hanging="360"/>
      </w:pPr>
      <w:rPr/>
    </w:lvl>
    <w:lvl w:ilvl="1">
      <w:start w:val="3"/>
      <w:numFmt w:val="decimal"/>
      <w:lvlText w:val="%2)"/>
      <w:lvlJc w:val="left"/>
      <w:pPr>
        <w:ind w:left="1080" w:hanging="360"/>
      </w:pPr>
      <w:rPr/>
    </w:lvl>
    <w:lvl w:ilvl="2">
      <w:start w:val="3"/>
      <w:numFmt w:val="decimal"/>
      <w:lvlText w:val="%3)"/>
      <w:lvlJc w:val="left"/>
      <w:pPr>
        <w:ind w:left="1800" w:hanging="360"/>
      </w:pPr>
      <w:rPr/>
    </w:lvl>
    <w:lvl w:ilvl="3">
      <w:start w:val="3"/>
      <w:numFmt w:val="decimal"/>
      <w:lvlText w:val="%4)"/>
      <w:lvlJc w:val="left"/>
      <w:pPr>
        <w:ind w:left="2520" w:hanging="360"/>
      </w:pPr>
      <w:rPr/>
    </w:lvl>
    <w:lvl w:ilvl="4">
      <w:start w:val="3"/>
      <w:numFmt w:val="decimal"/>
      <w:lvlText w:val="%5)"/>
      <w:lvlJc w:val="left"/>
      <w:pPr>
        <w:ind w:left="3240" w:hanging="360"/>
      </w:pPr>
      <w:rPr/>
    </w:lvl>
    <w:lvl w:ilvl="5">
      <w:start w:val="3"/>
      <w:numFmt w:val="decimal"/>
      <w:lvlText w:val="%6)"/>
      <w:lvlJc w:val="left"/>
      <w:pPr>
        <w:ind w:left="3960" w:hanging="360"/>
      </w:pPr>
      <w:rPr/>
    </w:lvl>
    <w:lvl w:ilvl="6">
      <w:start w:val="3"/>
      <w:numFmt w:val="decimal"/>
      <w:lvlText w:val="%7)"/>
      <w:lvlJc w:val="left"/>
      <w:pPr>
        <w:ind w:left="4680" w:hanging="360"/>
      </w:pPr>
      <w:rPr/>
    </w:lvl>
    <w:lvl w:ilvl="7">
      <w:start w:val="3"/>
      <w:numFmt w:val="decimal"/>
      <w:lvlText w:val="%8)"/>
      <w:lvlJc w:val="left"/>
      <w:pPr>
        <w:ind w:left="5400" w:hanging="360"/>
      </w:pPr>
      <w:rPr/>
    </w:lvl>
    <w:lvl w:ilvl="8">
      <w:start w:val="3"/>
      <w:numFmt w:val="decimal"/>
      <w:lvlText w:val="%9)"/>
      <w:lvlJc w:val="left"/>
      <w:pPr>
        <w:ind w:left="6120" w:hanging="360"/>
      </w:pPr>
      <w:rPr/>
    </w:lvl>
  </w:abstractNum>
  <w:abstractNum w:abstractNumId="11">
    <w:lvl w:ilvl="0">
      <w:start w:val="3"/>
      <w:numFmt w:val="decimal"/>
      <w:lvlText w:val="%1)"/>
      <w:lvlJc w:val="left"/>
      <w:pPr>
        <w:ind w:left="360" w:hanging="360"/>
      </w:pPr>
      <w:rPr/>
    </w:lvl>
    <w:lvl w:ilvl="1">
      <w:start w:val="3"/>
      <w:numFmt w:val="decimal"/>
      <w:lvlText w:val="%2)"/>
      <w:lvlJc w:val="left"/>
      <w:pPr>
        <w:ind w:left="1080" w:hanging="360"/>
      </w:pPr>
      <w:rPr/>
    </w:lvl>
    <w:lvl w:ilvl="2">
      <w:start w:val="3"/>
      <w:numFmt w:val="decimal"/>
      <w:lvlText w:val="%3)"/>
      <w:lvlJc w:val="left"/>
      <w:pPr>
        <w:ind w:left="1800" w:hanging="360"/>
      </w:pPr>
      <w:rPr/>
    </w:lvl>
    <w:lvl w:ilvl="3">
      <w:start w:val="3"/>
      <w:numFmt w:val="decimal"/>
      <w:lvlText w:val="%4)"/>
      <w:lvlJc w:val="left"/>
      <w:pPr>
        <w:ind w:left="2520" w:hanging="360"/>
      </w:pPr>
      <w:rPr/>
    </w:lvl>
    <w:lvl w:ilvl="4">
      <w:start w:val="3"/>
      <w:numFmt w:val="decimal"/>
      <w:lvlText w:val="%5)"/>
      <w:lvlJc w:val="left"/>
      <w:pPr>
        <w:ind w:left="3240" w:hanging="360"/>
      </w:pPr>
      <w:rPr/>
    </w:lvl>
    <w:lvl w:ilvl="5">
      <w:start w:val="3"/>
      <w:numFmt w:val="decimal"/>
      <w:lvlText w:val="%6)"/>
      <w:lvlJc w:val="left"/>
      <w:pPr>
        <w:ind w:left="3960" w:hanging="360"/>
      </w:pPr>
      <w:rPr/>
    </w:lvl>
    <w:lvl w:ilvl="6">
      <w:start w:val="3"/>
      <w:numFmt w:val="decimal"/>
      <w:lvlText w:val="%7)"/>
      <w:lvlJc w:val="left"/>
      <w:pPr>
        <w:ind w:left="4680" w:hanging="360"/>
      </w:pPr>
      <w:rPr/>
    </w:lvl>
    <w:lvl w:ilvl="7">
      <w:start w:val="3"/>
      <w:numFmt w:val="decimal"/>
      <w:lvlText w:val="%8)"/>
      <w:lvlJc w:val="left"/>
      <w:pPr>
        <w:ind w:left="5400" w:hanging="360"/>
      </w:pPr>
      <w:rPr/>
    </w:lvl>
    <w:lvl w:ilvl="8">
      <w:start w:val="3"/>
      <w:numFmt w:val="decimal"/>
      <w:lvlText w:val="%9)"/>
      <w:lvlJc w:val="left"/>
      <w:pPr>
        <w:ind w:left="6120" w:hanging="360"/>
      </w:pPr>
      <w:rPr/>
    </w:lvl>
  </w:abstractNum>
  <w:abstractNum w:abstractNumId="12">
    <w:lvl w:ilvl="0">
      <w:start w:val="3"/>
      <w:numFmt w:val="decimal"/>
      <w:lvlText w:val="%1)"/>
      <w:lvlJc w:val="left"/>
      <w:pPr>
        <w:ind w:left="360" w:hanging="360"/>
      </w:pPr>
      <w:rPr/>
    </w:lvl>
    <w:lvl w:ilvl="1">
      <w:start w:val="5"/>
      <w:numFmt w:val="decimal"/>
      <w:lvlText w:val="%2)"/>
      <w:lvlJc w:val="left"/>
      <w:pPr>
        <w:ind w:left="1080" w:hanging="360"/>
      </w:pPr>
      <w:rPr/>
    </w:lvl>
    <w:lvl w:ilvl="2">
      <w:start w:val="5"/>
      <w:numFmt w:val="decimal"/>
      <w:lvlText w:val="%3)"/>
      <w:lvlJc w:val="left"/>
      <w:pPr>
        <w:ind w:left="1800" w:hanging="360"/>
      </w:pPr>
      <w:rPr/>
    </w:lvl>
    <w:lvl w:ilvl="3">
      <w:start w:val="5"/>
      <w:numFmt w:val="decimal"/>
      <w:lvlText w:val="%4)"/>
      <w:lvlJc w:val="left"/>
      <w:pPr>
        <w:ind w:left="2520" w:hanging="360"/>
      </w:pPr>
      <w:rPr/>
    </w:lvl>
    <w:lvl w:ilvl="4">
      <w:start w:val="5"/>
      <w:numFmt w:val="decimal"/>
      <w:lvlText w:val="%5)"/>
      <w:lvlJc w:val="left"/>
      <w:pPr>
        <w:ind w:left="3240" w:hanging="360"/>
      </w:pPr>
      <w:rPr/>
    </w:lvl>
    <w:lvl w:ilvl="5">
      <w:start w:val="5"/>
      <w:numFmt w:val="decimal"/>
      <w:lvlText w:val="%6)"/>
      <w:lvlJc w:val="left"/>
      <w:pPr>
        <w:ind w:left="3960" w:hanging="360"/>
      </w:pPr>
      <w:rPr/>
    </w:lvl>
    <w:lvl w:ilvl="6">
      <w:start w:val="5"/>
      <w:numFmt w:val="decimal"/>
      <w:lvlText w:val="%7)"/>
      <w:lvlJc w:val="left"/>
      <w:pPr>
        <w:ind w:left="4680" w:hanging="360"/>
      </w:pPr>
      <w:rPr/>
    </w:lvl>
    <w:lvl w:ilvl="7">
      <w:start w:val="5"/>
      <w:numFmt w:val="decimal"/>
      <w:lvlText w:val="%8)"/>
      <w:lvlJc w:val="left"/>
      <w:pPr>
        <w:ind w:left="5400" w:hanging="360"/>
      </w:pPr>
      <w:rPr/>
    </w:lvl>
    <w:lvl w:ilvl="8">
      <w:start w:val="5"/>
      <w:numFmt w:val="decimal"/>
      <w:lvlText w:val="%9)"/>
      <w:lvlJc w:val="left"/>
      <w:pPr>
        <w:ind w:left="6120" w:hanging="360"/>
      </w:pPr>
      <w:rPr/>
    </w:lvl>
  </w:abstractNum>
  <w:abstractNum w:abstractNumId="1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4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decimal"/>
      <w:lvlText w:val="%3)"/>
      <w:lvlJc w:val="left"/>
      <w:pPr>
        <w:ind w:left="1800" w:hanging="360"/>
      </w:pPr>
      <w:rPr/>
    </w:lvl>
    <w:lvl w:ilvl="3">
      <w:start w:val="1"/>
      <w:numFmt w:val="decimal"/>
      <w:lvlText w:val="%4)"/>
      <w:lvlJc w:val="left"/>
      <w:pPr>
        <w:ind w:left="2520" w:hanging="360"/>
      </w:pPr>
      <w:rPr/>
    </w:lvl>
    <w:lvl w:ilvl="4">
      <w:start w:val="1"/>
      <w:numFmt w:val="decimal"/>
      <w:lvlText w:val="%5)"/>
      <w:lvlJc w:val="left"/>
      <w:pPr>
        <w:ind w:left="3240" w:hanging="360"/>
      </w:pPr>
      <w:rPr/>
    </w:lvl>
    <w:lvl w:ilvl="5">
      <w:start w:val="1"/>
      <w:numFmt w:val="decimal"/>
      <w:lvlText w:val="%6)"/>
      <w:lvlJc w:val="left"/>
      <w:pPr>
        <w:ind w:left="3960" w:hanging="360"/>
      </w:pPr>
      <w:rPr/>
    </w:lvl>
    <w:lvl w:ilvl="6">
      <w:start w:val="1"/>
      <w:numFmt w:val="decimal"/>
      <w:lvlText w:val="%7)"/>
      <w:lvlJc w:val="left"/>
      <w:pPr>
        <w:ind w:left="4680" w:hanging="360"/>
      </w:pPr>
      <w:rPr/>
    </w:lvl>
    <w:lvl w:ilvl="7">
      <w:start w:val="1"/>
      <w:numFmt w:val="decimal"/>
      <w:lvlText w:val="%8)"/>
      <w:lvlJc w:val="left"/>
      <w:pPr>
        <w:ind w:left="5400" w:hanging="360"/>
      </w:pPr>
      <w:rPr/>
    </w:lvl>
    <w:lvl w:ilvl="8">
      <w:start w:val="1"/>
      <w:numFmt w:val="decimal"/>
      <w:lvlText w:val="%9)"/>
      <w:lvlJc w:val="left"/>
      <w:pPr>
        <w:ind w:left="6120" w:hanging="360"/>
      </w:pPr>
      <w:rPr/>
    </w:lvl>
  </w:abstractNum>
  <w:abstractNum w:abstractNumId="15">
    <w:lvl w:ilvl="0">
      <w:start w:val="4"/>
      <w:numFmt w:val="decimal"/>
      <w:lvlText w:val="%1)"/>
      <w:lvlJc w:val="left"/>
      <w:pPr>
        <w:ind w:left="360" w:hanging="360"/>
      </w:pPr>
      <w:rPr/>
    </w:lvl>
    <w:lvl w:ilvl="1">
      <w:start w:val="4"/>
      <w:numFmt w:val="decimal"/>
      <w:lvlText w:val="%2)"/>
      <w:lvlJc w:val="left"/>
      <w:pPr>
        <w:ind w:left="1080" w:hanging="360"/>
      </w:pPr>
      <w:rPr/>
    </w:lvl>
    <w:lvl w:ilvl="2">
      <w:start w:val="4"/>
      <w:numFmt w:val="decimal"/>
      <w:lvlText w:val="%3)"/>
      <w:lvlJc w:val="left"/>
      <w:pPr>
        <w:ind w:left="1800" w:hanging="360"/>
      </w:pPr>
      <w:rPr/>
    </w:lvl>
    <w:lvl w:ilvl="3">
      <w:start w:val="4"/>
      <w:numFmt w:val="decimal"/>
      <w:lvlText w:val="%4)"/>
      <w:lvlJc w:val="left"/>
      <w:pPr>
        <w:ind w:left="2520" w:hanging="360"/>
      </w:pPr>
      <w:rPr/>
    </w:lvl>
    <w:lvl w:ilvl="4">
      <w:start w:val="4"/>
      <w:numFmt w:val="decimal"/>
      <w:lvlText w:val="%5)"/>
      <w:lvlJc w:val="left"/>
      <w:pPr>
        <w:ind w:left="3240" w:hanging="360"/>
      </w:pPr>
      <w:rPr/>
    </w:lvl>
    <w:lvl w:ilvl="5">
      <w:start w:val="4"/>
      <w:numFmt w:val="decimal"/>
      <w:lvlText w:val="%6)"/>
      <w:lvlJc w:val="left"/>
      <w:pPr>
        <w:ind w:left="3960" w:hanging="360"/>
      </w:pPr>
      <w:rPr/>
    </w:lvl>
    <w:lvl w:ilvl="6">
      <w:start w:val="4"/>
      <w:numFmt w:val="decimal"/>
      <w:lvlText w:val="%7)"/>
      <w:lvlJc w:val="left"/>
      <w:pPr>
        <w:ind w:left="4680" w:hanging="360"/>
      </w:pPr>
      <w:rPr/>
    </w:lvl>
    <w:lvl w:ilvl="7">
      <w:start w:val="4"/>
      <w:numFmt w:val="decimal"/>
      <w:lvlText w:val="%8)"/>
      <w:lvlJc w:val="left"/>
      <w:pPr>
        <w:ind w:left="5400" w:hanging="360"/>
      </w:pPr>
      <w:rPr/>
    </w:lvl>
    <w:lvl w:ilvl="8">
      <w:start w:val="4"/>
      <w:numFmt w:val="decimal"/>
      <w:lvlText w:val="%9)"/>
      <w:lvlJc w:val="left"/>
      <w:pPr>
        <w:ind w:left="6120" w:hanging="360"/>
      </w:pPr>
      <w:rPr/>
    </w:lvl>
  </w:abstractNum>
  <w:abstractNum w:abstractNumId="16">
    <w:lvl w:ilvl="0">
      <w:start w:val="5"/>
      <w:numFmt w:val="decimal"/>
      <w:lvlText w:val="%1)"/>
      <w:lvlJc w:val="left"/>
      <w:pPr>
        <w:ind w:left="360" w:hanging="360"/>
      </w:pPr>
      <w:rPr/>
    </w:lvl>
    <w:lvl w:ilvl="1">
      <w:start w:val="5"/>
      <w:numFmt w:val="decimal"/>
      <w:lvlText w:val="%2)"/>
      <w:lvlJc w:val="left"/>
      <w:pPr>
        <w:ind w:left="1080" w:hanging="360"/>
      </w:pPr>
      <w:rPr/>
    </w:lvl>
    <w:lvl w:ilvl="2">
      <w:start w:val="5"/>
      <w:numFmt w:val="decimal"/>
      <w:lvlText w:val="%3)"/>
      <w:lvlJc w:val="left"/>
      <w:pPr>
        <w:ind w:left="1800" w:hanging="360"/>
      </w:pPr>
      <w:rPr/>
    </w:lvl>
    <w:lvl w:ilvl="3">
      <w:start w:val="5"/>
      <w:numFmt w:val="decimal"/>
      <w:lvlText w:val="%4)"/>
      <w:lvlJc w:val="left"/>
      <w:pPr>
        <w:ind w:left="2520" w:hanging="360"/>
      </w:pPr>
      <w:rPr/>
    </w:lvl>
    <w:lvl w:ilvl="4">
      <w:start w:val="5"/>
      <w:numFmt w:val="decimal"/>
      <w:lvlText w:val="%5)"/>
      <w:lvlJc w:val="left"/>
      <w:pPr>
        <w:ind w:left="3240" w:hanging="360"/>
      </w:pPr>
      <w:rPr/>
    </w:lvl>
    <w:lvl w:ilvl="5">
      <w:start w:val="5"/>
      <w:numFmt w:val="decimal"/>
      <w:lvlText w:val="%6)"/>
      <w:lvlJc w:val="left"/>
      <w:pPr>
        <w:ind w:left="3960" w:hanging="360"/>
      </w:pPr>
      <w:rPr/>
    </w:lvl>
    <w:lvl w:ilvl="6">
      <w:start w:val="5"/>
      <w:numFmt w:val="decimal"/>
      <w:lvlText w:val="%7)"/>
      <w:lvlJc w:val="left"/>
      <w:pPr>
        <w:ind w:left="4680" w:hanging="360"/>
      </w:pPr>
      <w:rPr/>
    </w:lvl>
    <w:lvl w:ilvl="7">
      <w:start w:val="5"/>
      <w:numFmt w:val="decimal"/>
      <w:lvlText w:val="%8)"/>
      <w:lvlJc w:val="left"/>
      <w:pPr>
        <w:ind w:left="5400" w:hanging="360"/>
      </w:pPr>
      <w:rPr/>
    </w:lvl>
    <w:lvl w:ilvl="8">
      <w:start w:val="5"/>
      <w:numFmt w:val="decimal"/>
      <w:lvlText w:val="%9)"/>
      <w:lvlJc w:val="left"/>
      <w:pPr>
        <w:ind w:left="61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4"/>
        <w:szCs w:val="24"/>
        <w:lang w:val="cs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deded9" w:space="4" w:sz="4" w:val="single"/>
      </w:pBdr>
      <w:spacing w:after="160" w:before="360" w:lineRule="auto"/>
    </w:pPr>
    <w:rPr>
      <w:rFonts w:ascii="Poppins" w:cs="Poppins" w:eastAsia="Poppins" w:hAnsi="Poppins"/>
      <w:color w:val="1d1d1b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oppins" w:cs="Poppins" w:eastAsia="Poppins" w:hAnsi="Poppins"/>
      <w:color w:val="151514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151514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15151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15151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oppins" w:cs="Poppins" w:eastAsia="Poppins" w:hAnsi="Poppins"/>
      <w:sz w:val="56"/>
      <w:szCs w:val="56"/>
    </w:rPr>
  </w:style>
  <w:style w:type="paragraph" w:styleId="Nadpis7">
    <w:name w:val="heading 7"/>
    <w:basedOn w:val="Normln"/>
    <w:next w:val="Zkladntext"/>
    <w:link w:val="Nadpis7Char"/>
    <w:uiPriority w:val="9"/>
    <w:semiHidden w:val="1"/>
    <w:unhideWhenUsed w:val="1"/>
    <w:qFormat w:val="1"/>
    <w:rsid w:val="00A10FD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dpis8">
    <w:name w:val="heading 8"/>
    <w:basedOn w:val="Normln"/>
    <w:next w:val="Zkladntext"/>
    <w:link w:val="Nadpis8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dpis9">
    <w:name w:val="heading 9"/>
    <w:basedOn w:val="Normln"/>
    <w:next w:val="Zkladntext"/>
    <w:link w:val="Nadpis9Char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">
    <w:name w:val="Body Text"/>
    <w:basedOn w:val="Normln"/>
    <w:qFormat w:val="1"/>
    <w:pPr>
      <w:spacing w:after="180" w:before="180"/>
    </w:pPr>
  </w:style>
  <w:style w:type="paragraph" w:styleId="FirstParagraph" w:customStyle="1">
    <w:name w:val="First Paragraph"/>
    <w:basedOn w:val="Zkladntext"/>
    <w:next w:val="Zkladntext"/>
    <w:qFormat w:val="1"/>
  </w:style>
  <w:style w:type="paragraph" w:styleId="Compact" w:customStyle="1">
    <w:name w:val="Compact"/>
    <w:basedOn w:val="Zkladntext"/>
    <w:qFormat w:val="1"/>
    <w:pPr>
      <w:spacing w:after="36" w:before="36"/>
    </w:pPr>
  </w:style>
  <w:style w:type="character" w:styleId="NzevChar" w:customStyle="1">
    <w:name w:val="Název Char"/>
    <w:basedOn w:val="Standardnpsmoodstavce"/>
    <w:link w:val="Nzev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type="character" w:styleId="PodnadpisChar" w:customStyle="1">
    <w:name w:val="Podnadpis Char"/>
    <w:basedOn w:val="Standardnpsmoodstavce"/>
    <w:link w:val="Podnadpis"/>
    <w:uiPriority w:val="11"/>
    <w:rsid w:val="00A10FD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uthor" w:customStyle="1">
    <w:name w:val="Author"/>
    <w:basedOn w:val="Nzev"/>
    <w:next w:val="Zkladntext"/>
    <w:qFormat w:val="1"/>
    <w:pPr>
      <w:keepNext w:val="1"/>
      <w:keepLines w:val="1"/>
    </w:pPr>
    <w:rPr>
      <w:sz w:val="24"/>
      <w:szCs w:val="24"/>
    </w:rPr>
  </w:style>
  <w:style w:type="paragraph" w:styleId="Datum">
    <w:name w:val="Date"/>
    <w:basedOn w:val="Nzev"/>
    <w:next w:val="Zkladntext"/>
    <w:qFormat w:val="1"/>
    <w:pPr>
      <w:keepNext w:val="1"/>
      <w:keepLines w:val="1"/>
    </w:pPr>
    <w:rPr>
      <w:sz w:val="24"/>
      <w:szCs w:val="24"/>
    </w:rPr>
  </w:style>
  <w:style w:type="paragraph" w:styleId="AbstractTitle" w:customStyle="1">
    <w:name w:val="Abstract Title"/>
    <w:basedOn w:val="Normln"/>
    <w:next w:val="Abstract"/>
    <w:qFormat w:val="1"/>
    <w:pPr>
      <w:keepNext w:val="1"/>
      <w:keepLines w:val="1"/>
      <w:spacing w:after="0" w:before="300"/>
      <w:jc w:val="center"/>
    </w:pPr>
    <w:rPr>
      <w:b w:val="1"/>
      <w:sz w:val="20"/>
      <w:szCs w:val="20"/>
    </w:rPr>
  </w:style>
  <w:style w:type="paragraph" w:styleId="Abstract" w:customStyle="1">
    <w:name w:val="Abstract"/>
    <w:basedOn w:val="Normln"/>
    <w:next w:val="Zkladntext"/>
    <w:qFormat w:val="1"/>
    <w:pPr>
      <w:keepNext w:val="1"/>
      <w:keepLines w:val="1"/>
      <w:spacing w:after="300" w:before="100"/>
    </w:pPr>
    <w:rPr>
      <w:sz w:val="20"/>
      <w:szCs w:val="20"/>
    </w:rPr>
  </w:style>
  <w:style w:type="paragraph" w:styleId="Bibliografie">
    <w:name w:val="Bibliography"/>
    <w:basedOn w:val="Normln"/>
    <w:qFormat w:val="1"/>
  </w:style>
  <w:style w:type="character" w:styleId="Nadpis1Char" w:customStyle="1">
    <w:name w:val="Nadpis 1 Char"/>
    <w:basedOn w:val="Standardnpsmoodstavce"/>
    <w:link w:val="Nadpis1"/>
    <w:uiPriority w:val="9"/>
    <w:rsid w:val="00A10FD9"/>
    <w:rPr>
      <w:rFonts w:asciiTheme="majorHAnsi" w:cstheme="majorBidi" w:eastAsiaTheme="majorEastAsia" w:hAnsiTheme="majorHAnsi"/>
      <w:color w:val="1d1d1b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 w:val="1"/>
    <w:rsid w:val="00A10FD9"/>
    <w:rPr>
      <w:rFonts w:asciiTheme="majorHAnsi" w:cstheme="majorBidi" w:eastAsiaTheme="majorEastAsia" w:hAnsiTheme="majorHAnsi"/>
      <w:color w:val="1d1d1b" w:themeColor="accent1" w:themeShade="0000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semiHidden w:val="1"/>
    <w:rsid w:val="00A10FD9"/>
    <w:rPr>
      <w:rFonts w:cstheme="majorBidi" w:eastAsiaTheme="majorEastAsia"/>
      <w:color w:val="1d1d1b" w:themeColor="accent1" w:themeShade="0000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 w:val="1"/>
    <w:rsid w:val="00A10FD9"/>
    <w:rPr>
      <w:rFonts w:cstheme="majorBidi" w:eastAsiaTheme="majorEastAsia"/>
      <w:i w:val="1"/>
      <w:iCs w:val="1"/>
      <w:color w:val="1d1d1b" w:themeColor="accent1" w:themeShade="0000BF"/>
    </w:rPr>
  </w:style>
  <w:style w:type="character" w:styleId="Nadpis5Char" w:customStyle="1">
    <w:name w:val="Nadpis 5 Char"/>
    <w:basedOn w:val="Standardnpsmoodstavce"/>
    <w:link w:val="Nadpis5"/>
    <w:uiPriority w:val="9"/>
    <w:semiHidden w:val="1"/>
    <w:rsid w:val="00A10FD9"/>
    <w:rPr>
      <w:rFonts w:cstheme="majorBidi" w:eastAsiaTheme="majorEastAsia"/>
      <w:color w:val="1d1d1b" w:themeColor="accent1" w:themeShade="0000BF"/>
    </w:rPr>
  </w:style>
  <w:style w:type="character" w:styleId="Nadpis6Char" w:customStyle="1">
    <w:name w:val="Nadpis 6 Char"/>
    <w:basedOn w:val="Standardnpsmoodstavce"/>
    <w:link w:val="Nadpis6"/>
    <w:uiPriority w:val="9"/>
    <w:semiHidden w:val="1"/>
    <w:rsid w:val="00A10FD9"/>
    <w:rPr>
      <w:rFonts w:cstheme="majorBidi" w:eastAsiaTheme="majorEastAsia"/>
      <w:i w:val="1"/>
      <w:iCs w:val="1"/>
      <w:color w:val="595959" w:themeColor="text1" w:themeTint="0000A6"/>
    </w:rPr>
  </w:style>
  <w:style w:type="character" w:styleId="Nadpis7Char" w:customStyle="1">
    <w:name w:val="Nadpis 7 Char"/>
    <w:basedOn w:val="Standardnpsmoodstavce"/>
    <w:link w:val="Nadpis7"/>
    <w:uiPriority w:val="9"/>
    <w:semiHidden w:val="1"/>
    <w:rsid w:val="00A10FD9"/>
    <w:rPr>
      <w:rFonts w:cstheme="majorBidi" w:eastAsiaTheme="majorEastAsia"/>
      <w:color w:val="595959" w:themeColor="text1" w:themeTint="0000A6"/>
    </w:rPr>
  </w:style>
  <w:style w:type="character" w:styleId="Nadpis8Char" w:customStyle="1">
    <w:name w:val="Nadpis 8 Char"/>
    <w:basedOn w:val="Standardnpsmoodstavce"/>
    <w:link w:val="Nadpis8"/>
    <w:uiPriority w:val="9"/>
    <w:semiHidden w:val="1"/>
    <w:rsid w:val="00A10FD9"/>
    <w:rPr>
      <w:rFonts w:cstheme="majorBidi" w:eastAsiaTheme="majorEastAsia"/>
      <w:i w:val="1"/>
      <w:iCs w:val="1"/>
      <w:color w:val="272727" w:themeColor="text1" w:themeTint="0000D8"/>
    </w:rPr>
  </w:style>
  <w:style w:type="character" w:styleId="Nadpis9Char" w:customStyle="1">
    <w:name w:val="Nadpis 9 Char"/>
    <w:basedOn w:val="Standardnpsmoodstavce"/>
    <w:link w:val="Nadpis9"/>
    <w:uiPriority w:val="9"/>
    <w:semiHidden w:val="1"/>
    <w:rsid w:val="00A10FD9"/>
    <w:rPr>
      <w:rFonts w:cstheme="majorBidi" w:eastAsiaTheme="majorEastAsia"/>
      <w:color w:val="272727" w:themeColor="text1" w:themeTint="0000D8"/>
    </w:rPr>
  </w:style>
  <w:style w:type="paragraph" w:styleId="Textvbloku">
    <w:name w:val="Block Text"/>
    <w:basedOn w:val="Zkladntext"/>
    <w:next w:val="Zkladntext"/>
    <w:uiPriority w:val="9"/>
    <w:unhideWhenUsed w:val="1"/>
    <w:qFormat w:val="1"/>
    <w:pPr>
      <w:spacing w:after="100" w:before="100"/>
      <w:ind w:left="480" w:right="480"/>
    </w:pPr>
  </w:style>
  <w:style w:type="paragraph" w:styleId="Textpoznpodarou">
    <w:name w:val="footnote text"/>
    <w:basedOn w:val="Normln"/>
    <w:uiPriority w:val="9"/>
    <w:unhideWhenUsed w:val="1"/>
    <w:qFormat w:val="1"/>
  </w:style>
  <w:style w:type="paragraph" w:styleId="FootnoteBlockText" w:customStyle="1">
    <w:name w:val="Footnote Block Text"/>
    <w:basedOn w:val="Textpoznpodarou"/>
    <w:next w:val="Textpoznpodarou"/>
    <w:uiPriority w:val="9"/>
    <w:unhideWhenUsed w:val="1"/>
    <w:qFormat w:val="1"/>
    <w:pPr>
      <w:spacing w:after="100" w:before="100"/>
      <w:ind w:left="480" w:right="480"/>
    </w:pPr>
  </w:style>
  <w:style w:type="table" w:styleId="Table" w:customStyle="1">
    <w:name w:val="Table"/>
    <w:semiHidden w:val="1"/>
    <w:unhideWhenUsed w:val="1"/>
    <w:qFormat w:val="1"/>
    <w:tblPr>
      <w:tblInd w:w="0.0" w:type="dxa"/>
      <w:tblBorders>
        <w:top w:color="deded9" w:space="0" w:sz="4" w:val="single"/>
        <w:left w:color="deded9" w:space="0" w:sz="4" w:val="single"/>
        <w:bottom w:color="deded9" w:space="0" w:sz="4" w:val="single"/>
        <w:right w:color="deded9" w:space="0" w:sz="4" w:val="single"/>
        <w:insideH w:color="deded9" w:space="0" w:sz="4" w:val="single"/>
        <w:insideV w:color="deded9" w:space="0" w:sz="4" w:val="single"/>
      </w:tblBorders>
      <w:tblCellMar>
        <w:top w:w="60.0" w:type="dxa"/>
        <w:left w:w="108.0" w:type="dxa"/>
        <w:bottom w:w="60.0" w:type="dxa"/>
        <w:right w:w="108.0" w:type="dxa"/>
      </w:tblCellMar>
    </w:tblPr>
    <w:tblStylePr w:type="firstRow">
      <w:pPr>
        <w:jc w:val="left"/>
      </w:pPr>
      <w:rPr>
        <w:b w:val="1"/>
        <w:color w:val="1d1d1b"/>
      </w:rPr>
      <w:tblPr/>
      <w:tcPr>
        <w:tcBorders>
          <w:bottom w:color="deded9" w:space="0" w:sz="4" w:val="single"/>
        </w:tcBorders>
        <w:shd w:color="auto" w:fill="f2f2f0" w:val="clear"/>
        <w:vAlign w:val="center"/>
      </w:tcPr>
    </w:tblStylePr>
  </w:style>
  <w:style w:type="paragraph" w:styleId="DefinitionTerm" w:customStyle="1">
    <w:name w:val="Definition Term"/>
    <w:basedOn w:val="Normln"/>
    <w:next w:val="Definition"/>
    <w:pPr>
      <w:keepNext w:val="1"/>
      <w:keepLines w:val="1"/>
      <w:spacing w:after="0"/>
    </w:pPr>
    <w:rPr>
      <w:b w:val="1"/>
    </w:rPr>
  </w:style>
  <w:style w:type="paragraph" w:styleId="Definition" w:customStyle="1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 w:val="1"/>
    </w:rPr>
  </w:style>
  <w:style w:type="paragraph" w:styleId="TableCaption" w:customStyle="1">
    <w:name w:val="Table Caption"/>
    <w:basedOn w:val="Titulek"/>
    <w:pPr>
      <w:keepNext w:val="1"/>
    </w:pPr>
  </w:style>
  <w:style w:type="paragraph" w:styleId="ImageCaption" w:customStyle="1">
    <w:name w:val="Image Caption"/>
    <w:basedOn w:val="Titulek"/>
  </w:style>
  <w:style w:type="paragraph" w:styleId="Figure" w:customStyle="1">
    <w:name w:val="Figure"/>
    <w:basedOn w:val="Normln"/>
  </w:style>
  <w:style w:type="paragraph" w:styleId="CaptionedFigure" w:customStyle="1">
    <w:name w:val="Captioned Figure"/>
    <w:basedOn w:val="Figure"/>
    <w:pPr>
      <w:keepNext w:val="1"/>
    </w:pPr>
  </w:style>
  <w:style w:type="character" w:styleId="TitulekChar" w:customStyle="1">
    <w:name w:val="Titulek Char"/>
    <w:basedOn w:val="Standardnpsmoodstavce"/>
    <w:link w:val="Titulek"/>
  </w:style>
  <w:style w:type="character" w:styleId="VerbatimChar" w:customStyle="1">
    <w:name w:val="Verbatim Char"/>
    <w:basedOn w:val="TitulekChar"/>
    <w:link w:val="SourceCode"/>
    <w:rPr>
      <w:rFonts w:ascii="Consolas" w:hAnsi="Consolas"/>
      <w:sz w:val="22"/>
    </w:rPr>
  </w:style>
  <w:style w:type="character" w:styleId="SectionNumber" w:customStyle="1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 w:val="1"/>
    <w:qFormat w:val="1"/>
    <w:pPr>
      <w:spacing w:before="240" w:line="259" w:lineRule="auto"/>
      <w:outlineLvl w:val="9"/>
    </w:pPr>
    <w:rPr>
      <w:color w:val="1d1d1b" w:themeColor="accent1" w:themeShade="0000BF"/>
    </w:rPr>
  </w:style>
  <w:style w:type="paragraph" w:styleId="SourceCode" w:customStyle="1">
    <w:name w:val="Source Code"/>
    <w:basedOn w:val="Normln"/>
    <w:link w:val="VerbatimChar"/>
    <w:pPr>
      <w:wordWrap w:val="0"/>
    </w:pPr>
  </w:style>
  <w:style w:type="character" w:styleId="KeywordTok" w:customStyle="1">
    <w:name w:val="KeywordTok"/>
    <w:basedOn w:val="VerbatimChar"/>
    <w:rPr>
      <w:rFonts w:ascii="Consolas" w:hAnsi="Consolas"/>
      <w:b w:val="1"/>
      <w:color w:val="007020"/>
      <w:sz w:val="22"/>
    </w:rPr>
  </w:style>
  <w:style w:type="character" w:styleId="DataTypeTok" w:customStyle="1">
    <w:name w:val="DataTypeTok"/>
    <w:basedOn w:val="VerbatimChar"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rPr>
      <w:rFonts w:ascii="Consolas" w:hAnsi="Consolas"/>
      <w:b w:val="1"/>
      <w:color w:val="008000"/>
      <w:sz w:val="22"/>
    </w:rPr>
  </w:style>
  <w:style w:type="character" w:styleId="CommentTok" w:customStyle="1">
    <w:name w:val="CommentTok"/>
    <w:basedOn w:val="VerbatimChar"/>
    <w:rPr>
      <w:rFonts w:ascii="Consolas" w:hAnsi="Consolas"/>
      <w:i w:val="1"/>
      <w:color w:val="60a0b0"/>
      <w:sz w:val="22"/>
    </w:rPr>
  </w:style>
  <w:style w:type="character" w:styleId="DocumentationTok" w:customStyle="1">
    <w:name w:val="DocumentationTok"/>
    <w:basedOn w:val="VerbatimChar"/>
    <w:rPr>
      <w:rFonts w:ascii="Consolas" w:hAnsi="Consolas"/>
      <w:i w:val="1"/>
      <w:color w:val="ba2121"/>
      <w:sz w:val="22"/>
    </w:rPr>
  </w:style>
  <w:style w:type="character" w:styleId="AnnotationTok" w:customStyle="1">
    <w:name w:val="Annot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CommentVarTok" w:customStyle="1">
    <w:name w:val="CommentVar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OtherTok" w:customStyle="1">
    <w:name w:val="OtherTok"/>
    <w:basedOn w:val="VerbatimChar"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rPr>
      <w:rFonts w:ascii="Consolas" w:hAnsi="Consolas"/>
      <w:b w:val="1"/>
      <w:color w:val="007020"/>
      <w:sz w:val="22"/>
    </w:rPr>
  </w:style>
  <w:style w:type="character" w:styleId="OperatorTok" w:customStyle="1">
    <w:name w:val="OperatorTok"/>
    <w:basedOn w:val="VerbatimChar"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WarningTok" w:customStyle="1">
    <w:name w:val="WarningTok"/>
    <w:basedOn w:val="VerbatimChar"/>
    <w:rPr>
      <w:rFonts w:ascii="Consolas" w:hAnsi="Consolas"/>
      <w:b w:val="1"/>
      <w:i w:val="1"/>
      <w:color w:val="60a0b0"/>
      <w:sz w:val="22"/>
    </w:rPr>
  </w:style>
  <w:style w:type="character" w:styleId="AlertTok" w:customStyle="1">
    <w:name w:val="AlertTok"/>
    <w:basedOn w:val="VerbatimChar"/>
    <w:rPr>
      <w:rFonts w:ascii="Consolas" w:hAnsi="Consolas"/>
      <w:b w:val="1"/>
      <w:color w:val="ff0000"/>
      <w:sz w:val="22"/>
    </w:rPr>
  </w:style>
  <w:style w:type="character" w:styleId="ErrorTok" w:customStyle="1">
    <w:name w:val="ErrorTok"/>
    <w:basedOn w:val="VerbatimChar"/>
    <w:rPr>
      <w:rFonts w:ascii="Consolas" w:hAnsi="Consolas"/>
      <w:b w:val="1"/>
      <w:color w:val="ff0000"/>
      <w:sz w:val="22"/>
    </w:rPr>
  </w:style>
  <w:style w:type="character" w:styleId="NormalTok" w:customStyle="1">
    <w:name w:val="NormalTok"/>
    <w:basedOn w:val="VerbatimChar"/>
    <w:rPr>
      <w:rFonts w:ascii="Consolas" w:hAnsi="Consolas"/>
      <w:sz w:val="22"/>
    </w:r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oppins" w:cs="Poppins" w:eastAsia="Poppins" w:hAnsi="Poppins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60.0" w:type="dxa"/>
        <w:left w:w="108.0" w:type="dxa"/>
        <w:bottom w:w="60.0" w:type="dxa"/>
        <w:right w:w="108.0" w:type="dxa"/>
      </w:tblCellMar>
    </w:tblPr>
    <w:tblStylePr w:type="firstRow">
      <w:pPr>
        <w:jc w:val="left"/>
      </w:pPr>
      <w:rPr>
        <w:b w:val="1"/>
        <w:bCs w:val="1"/>
        <w:color w:val="1d1d1b"/>
      </w:rPr>
      <w:tcPr>
        <w:tcBorders>
          <w:bottom w:color="deded9" w:space="0" w:sz="4" w:val="single"/>
        </w:tcBorders>
        <w:shd w:fill="f2f2f0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D1D1B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Poppins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Poppin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6cOgN/wqfhOf627HcN7tRs7xrg==">CgMxLjAyD2lkLmp3dHdrbnQ4OTNlMDIOaWQuNWxwb3Rtbno5NzQyDmguODg3MnVmZTQ2bXlmMg9pZC5nN2JoZThydmxtbnoyD2lkLmd1M2J4ZGpicnY0cjIPaWQudDI0dTc3bzhqM2g5Mg9pZC5qM3htcnpka3l3bnMyD2lkLjRjdGNmZGgydnI4ejIPaWQub3pkd3FsaGZmZmRxMg9pZC43bjhqNmZuczA0bnYyD2lkLjV4ZHp1a2d5ajlkODIPaWQuMWdrOGxnazgyem96Mg9pZC5hMXpuMHVxcGZnbGgyD2lkLmN0MW1tbXJoN2htODIPaWQubWRwbGU3YTE1MGl0Mg9pZC4zOTc4cHRpN29kZm8yD2lkLml2bjY3bmMwY2VnZjgAciExZW1FdE5QZkxMQlc5T2x5MHVWZWNtdW9aZjd5VjMxV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2026-07-21T15:30:00Z</dcterms:created>
</cp:coreProperties>
</file>