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120" w:lineRule="auto"/>
        <w:rPr/>
      </w:pPr>
      <w:r w:rsidDel="00000000" w:rsidR="00000000" w:rsidRPr="00000000">
        <w:rPr/>
        <w:drawing>
          <wp:inline distB="0" distT="0" distL="0" distR="0">
            <wp:extent cx="1512000" cy="364140"/>
            <wp:effectExtent b="0" l="0" r="0" t="0"/>
            <wp:docPr id="10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3641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bookmarkStart w:colFirst="0" w:colLast="0" w:name="bookmark=id.6sqt1vihmt45" w:id="0"/>
    <w:bookmarkEnd w:id="0"/>
    <w:bookmarkStart w:colFirst="0" w:colLast="0" w:name="bookmark=id.xc8rkg7brws8" w:id="1"/>
    <w:bookmarkEnd w:id="1"/>
    <w:p w:rsidR="00000000" w:rsidDel="00000000" w:rsidP="00000000" w:rsidRDefault="00000000" w:rsidRPr="00000000" w14:paraId="00000002">
      <w:pPr>
        <w:pStyle w:val="Heading1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Pracovní list – Emil 1</w:t>
      </w:r>
    </w:p>
    <w:p w:rsidR="00000000" w:rsidDel="00000000" w:rsidP="00000000" w:rsidRDefault="00000000" w:rsidRPr="00000000" w14:paraId="00000003">
      <w:pPr>
        <w:pStyle w:val="Heading2"/>
        <w:rPr/>
      </w:pPr>
      <w:r w:rsidDel="00000000" w:rsidR="00000000" w:rsidRPr="00000000">
        <w:rPr>
          <w:rtl w:val="0"/>
        </w:rPr>
        <w:t xml:space="preserve">Jméno:_________________________Třída:_______Datum:__________</w:t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Identifikace součástek</w:t>
      </w:r>
    </w:p>
    <w:tbl>
      <w:tblPr>
        <w:tblStyle w:val="Table1"/>
        <w:tblW w:w="9696.0" w:type="dxa"/>
        <w:jc w:val="left"/>
        <w:tblInd w:w="-108.0" w:type="dxa"/>
        <w:tblBorders>
          <w:top w:color="deded9" w:space="0" w:sz="4" w:val="single"/>
          <w:left w:color="deded9" w:space="0" w:sz="4" w:val="single"/>
          <w:bottom w:color="deded9" w:space="0" w:sz="4" w:val="single"/>
          <w:right w:color="deded9" w:space="0" w:sz="4" w:val="single"/>
          <w:insideH w:color="deded9" w:space="0" w:sz="4" w:val="single"/>
          <w:insideV w:color="deded9" w:space="0" w:sz="4" w:val="single"/>
        </w:tblBorders>
        <w:tblLayout w:type="fixed"/>
        <w:tblLook w:val="0020"/>
      </w:tblPr>
      <w:tblGrid>
        <w:gridCol w:w="2204"/>
        <w:gridCol w:w="5895"/>
        <w:gridCol w:w="1597"/>
        <w:tblGridChange w:id="0">
          <w:tblGrid>
            <w:gridCol w:w="2204"/>
            <w:gridCol w:w="5895"/>
            <w:gridCol w:w="1597"/>
          </w:tblGrid>
        </w:tblGridChange>
      </w:tblGrid>
      <w:tr>
        <w:trPr>
          <w:cantSplit w:val="0"/>
          <w:trHeight w:val="420" w:hRule="atLeast"/>
          <w:tblHeader w:val="1"/>
        </w:trPr>
        <w:tc>
          <w:tcPr/>
          <w:p w:rsidR="00000000" w:rsidDel="00000000" w:rsidP="00000000" w:rsidRDefault="00000000" w:rsidRPr="00000000" w14:paraId="00000005">
            <w:pPr>
              <w:spacing w:after="36" w:before="36" w:lineRule="auto"/>
              <w:rPr>
                <w:b w:val="0"/>
                <w:bCs w:val="0"/>
                <w:color w:val="000000"/>
              </w:rPr>
            </w:pPr>
            <w:r w:rsidDel="00000000" w:rsidR="00000000" w:rsidRPr="00000000">
              <w:rPr>
                <w:b w:val="0"/>
                <w:bCs w:val="0"/>
                <w:color w:val="000000"/>
                <w:rtl w:val="0"/>
              </w:rPr>
              <w:t xml:space="preserve">Označení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36" w:before="36" w:lineRule="auto"/>
              <w:rPr>
                <w:b w:val="0"/>
                <w:bCs w:val="0"/>
                <w:color w:val="000000"/>
              </w:rPr>
            </w:pPr>
            <w:r w:rsidDel="00000000" w:rsidR="00000000" w:rsidRPr="00000000">
              <w:rPr>
                <w:b w:val="0"/>
                <w:bCs w:val="0"/>
                <w:color w:val="000000"/>
                <w:rtl w:val="0"/>
              </w:rPr>
              <w:t xml:space="preserve">Typ součástky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36" w:before="36" w:lineRule="auto"/>
              <w:rPr>
                <w:b w:val="0"/>
                <w:bCs w:val="0"/>
                <w:color w:val="000000"/>
              </w:rPr>
            </w:pPr>
            <w:r w:rsidDel="00000000" w:rsidR="00000000" w:rsidRPr="00000000">
              <w:rPr>
                <w:b w:val="0"/>
                <w:bCs w:val="0"/>
                <w:color w:val="000000"/>
                <w:rtl w:val="0"/>
              </w:rPr>
              <w:t xml:space="preserve">Hodnota</w:t>
            </w:r>
          </w:p>
        </w:tc>
      </w:tr>
      <w:tr>
        <w:trPr>
          <w:cantSplit w:val="0"/>
          <w:trHeight w:val="43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DC1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Souosý napájecí konektor 5,5–2,1 mm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5V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D1, D2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LED dioda (červená)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</w:tr>
      <w:tr>
        <w:trPr>
          <w:cantSplit w:val="0"/>
          <w:trHeight w:val="43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R1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Rezistor 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1 kΩ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R2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Rezistor 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300 Ω</w:t>
            </w:r>
          </w:p>
        </w:tc>
      </w:tr>
      <w:tr>
        <w:trPr>
          <w:cantSplit w:val="0"/>
          <w:trHeight w:val="43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PB1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Tlačítko (mechanický spínač)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P1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Potenciometr 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1 kΩ</w:t>
            </w:r>
          </w:p>
        </w:tc>
      </w:tr>
      <w:tr>
        <w:trPr>
          <w:cantSplit w:val="0"/>
          <w:trHeight w:val="43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HDR1, HDR2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Zásuvné piny (+ / −) pro externí LED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36" w:before="36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3cxhc26hsggc" w:id="2"/>
    <w:bookmarkEnd w:id="2"/>
    <w:p w:rsidR="00000000" w:rsidDel="00000000" w:rsidP="00000000" w:rsidRDefault="00000000" w:rsidRPr="00000000" w14:paraId="0000001F">
      <w:pPr>
        <w:pStyle w:val="Heading2"/>
        <w:numPr>
          <w:ilvl w:val="0"/>
          <w:numId w:val="13"/>
        </w:numPr>
        <w:ind w:left="360" w:hanging="360"/>
        <w:rPr/>
      </w:pPr>
      <w:r w:rsidDel="00000000" w:rsidR="00000000" w:rsidRPr="00000000">
        <w:rPr>
          <w:rtl w:val="0"/>
        </w:rPr>
        <w:t xml:space="preserve">Větev R1–D1 (LED svítí trvale)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Multimetrem změřte napětí na konektoru DC1.</w:t>
        <w:br w:type="textWrapping"/>
        <w:t xml:space="preserve"> 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U1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Změřte úbytek napětí přímo na LED diodě D1. Zapište naměřenou hodnotu Uf.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36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Uf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Změřte napětí U(R1) přímo mezi ploškami rezistoru R1. </w:t>
        <w:br w:type="textWrapping"/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U(R1)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Vypočítejte proud, který protéká uzlem V2.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36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I1 = ____________________ mA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Kontrola: U(R1) + Uf ≈ ____________________ V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gahm5t2lqn4r" w:id="3"/>
    <w:bookmarkEnd w:id="3"/>
    <w:p w:rsidR="00000000" w:rsidDel="00000000" w:rsidP="00000000" w:rsidRDefault="00000000" w:rsidRPr="00000000" w14:paraId="00000029">
      <w:pPr>
        <w:pStyle w:val="Heading2"/>
        <w:numPr>
          <w:ilvl w:val="0"/>
          <w:numId w:val="13"/>
        </w:numPr>
        <w:ind w:left="360" w:hanging="360"/>
        <w:rPr/>
      </w:pPr>
      <w:r w:rsidDel="00000000" w:rsidR="00000000" w:rsidRPr="00000000">
        <w:rPr>
          <w:rtl w:val="0"/>
        </w:rPr>
        <w:t xml:space="preserve">Tlačítko PB1 a větev R2–D2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Odpojte desku od napájení. Vyčtěte ohmmetrem hodnotu mezi vývody tlačítka PB1, když je uvolněné (nestisknuté).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R(PB1, uvolněné) = ____________________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Měření zopakujte se stisknutým tlačítkem. Porovnejte obě hodnoty.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R(PB1, stisknuté)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Připojte desku k napájení. Držte tlačítko PB1 stisknuté a změřte napětí U(R2). 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U(R2)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stále stisknutým tlačítkem změřte úbytek napětí na LED D2.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Uf(D2)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Vypočítejte proud I2. Porovnejte s proudem I1 z úlohy 2. Která LED by podle vypočtených proudů měla svítit jasněji, D1 nebo D2?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I2 = ____________________ mA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bookmarkStart w:colFirst="0" w:colLast="0" w:name="bookmark=id.qledvkyyoh1o" w:id="4"/>
    <w:bookmarkEnd w:id="4"/>
    <w:p w:rsidR="00000000" w:rsidDel="00000000" w:rsidP="00000000" w:rsidRDefault="00000000" w:rsidRPr="00000000" w14:paraId="00000036">
      <w:pPr>
        <w:pStyle w:val="Heading2"/>
        <w:numPr>
          <w:ilvl w:val="0"/>
          <w:numId w:val="13"/>
        </w:numPr>
        <w:ind w:left="360" w:hanging="360"/>
        <w:rPr/>
      </w:pPr>
      <w:r w:rsidDel="00000000" w:rsidR="00000000" w:rsidRPr="00000000">
        <w:rPr>
          <w:rtl w:val="0"/>
        </w:rPr>
        <w:t xml:space="preserve">Potenciometr P1 – nastavitelný napěťový dělič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Potenciometr P1 je zapojen jako nastavitelný napěťový dělič mezi V1 a GND. Jeho jezdec (výstup) je veden přes uzel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V4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na header HDR1 (+), zem na header HDR2 (−).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Zatím nic nezasouvejte do HDR1/HDR2. Otočte P1 na jeden krajní doraz. Multimetrem změřte napětí mezi HDR1 a HDR2.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U(HDR1–HDR2, doraz 1)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Otočte P1 přibližně do poloviny rozsahu a měření zopakujte.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U(HDR1–HDR2, polovina)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Otočte P1 na druhý krajní doraz a měření zopakujte.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U(HDR1–HDR2, doraz 2) = ____________________ V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Popište, jak se napětí na výstupu potenciometru mění s jeho otáčením?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Start w:colFirst="0" w:colLast="0" w:name="bookmark=id.j5zl5lusawu7" w:id="5"/>
    <w:bookmarkEnd w:id="5"/>
    <w:p w:rsidR="00000000" w:rsidDel="00000000" w:rsidP="00000000" w:rsidRDefault="00000000" w:rsidRPr="00000000" w14:paraId="00000040">
      <w:pPr>
        <w:pStyle w:val="Heading2"/>
        <w:numPr>
          <w:ilvl w:val="0"/>
          <w:numId w:val="13"/>
        </w:numPr>
        <w:ind w:left="360" w:hanging="360"/>
        <w:rPr/>
      </w:pPr>
      <w:r w:rsidDel="00000000" w:rsidR="00000000" w:rsidRPr="00000000">
        <w:rPr>
          <w:rtl w:val="0"/>
        </w:rPr>
        <w:t xml:space="preserve">Kdy se LED zničí?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Bezpečnostní poznámka: Použijte pouze náhradní/zkušební LED, ne součástku, kterou chcete dál používat – tento experiment je záměrně destruktivní. Headery HDR1/HDR2 slouží přesně k tomu, aby šlo LED zasunout a vyměnit bez pájení a bez rizika pro zbytek desky. LED se může při přetížení krátce zahřát – nedotýkejte se jí prsty těsně po experimentu.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360" w:hanging="360"/>
        <w:rPr/>
      </w:pPr>
      <w:r w:rsidDel="00000000" w:rsidR="00000000" w:rsidRPr="00000000">
        <w:rPr>
          <w:rtl w:val="0"/>
        </w:rPr>
        <w:t xml:space="preserve">Otočte potenciometr P1 na doraz směrem k nejnižšímu napětí (dle úlohy 3). Zasuňte zkušební LED do headerů.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360" w:hanging="360"/>
        <w:rPr/>
      </w:pPr>
      <w:r w:rsidDel="00000000" w:rsidR="00000000" w:rsidRPr="00000000">
        <w:rPr>
          <w:rtl w:val="0"/>
        </w:rPr>
        <w:t xml:space="preserve">Pomalu otáčejte P1 směrem k vyššímu napětí a pozorujte jas LED. Přibližně v polovině rozsahu multimetrem změřte napětí mezi HDR1 a HDR2 (s LED zasunutou) a popište jas LED.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U(HDR1–HDR2, s LED) = ____________________ V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Pokračujte v pomalém otáčení směrem k dorazu. Pozorně sledujte LED a zaznamenejte, přibližně v jaké části rozsahu dojde ke zničení LED?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 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Přibližná poloha selhání ≈ ____________________ % rozsahu</w:t>
        <w:br w:type="textWrapping"/>
        <w:t xml:space="preserve">Napětí v bodu selhání: _____________________V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technické dokumentaci si všimněte, že větev P1–HDR1/HDR2 na rozdíl od R1–D1 a R2–D2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nemá žádný pevný omezovací rezistor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Vysvětlete, proč to dělá tuto větev nebezpečnou pro LED?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Bonus: Běžná LED snese trvale bezpečně proud přibližně do 20 mA. Vypočítejte, jak velký rezistor by bylo potřeba zapojit do série za výstup potenciometru, aby i při otočení na plné napětí neprotékal diodou vyšší než bezpečný proud.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R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numPr>
          <w:ilvl w:val="0"/>
          <w:numId w:val="13"/>
        </w:numPr>
        <w:ind w:left="360" w:hanging="360"/>
        <w:rPr/>
      </w:pPr>
      <w:r w:rsidDel="00000000" w:rsidR="00000000" w:rsidRPr="00000000">
        <w:rPr>
          <w:rtl w:val="0"/>
        </w:rPr>
        <w:t xml:space="preserve">Jednotky a převody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Elektrické veličiny se často zapisují s předponami (mili- m, mikro- µ, kilo- k). Doplňte chybějící hodnoty.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Doplňte převody jednotek:</w:t>
        <w:br w:type="textWrapping"/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mA = ______________ A = ______________ µA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1,5 kΩ = ______________ Ω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0,047 µF = ______________ nF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 mV = ______________ V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2 200 µF = ______________ 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Proud I1, který jste naměřili v úloze 1, zapište ve třech jednotkách:</w:t>
        <w:br w:type="textWrapping"/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I1 = ______________ mA = ______________ µA = ______________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kf0y3kovuyg5" w:id="6"/>
    <w:bookmarkEnd w:id="6"/>
    <w:p w:rsidR="00000000" w:rsidDel="00000000" w:rsidP="00000000" w:rsidRDefault="00000000" w:rsidRPr="00000000" w14:paraId="00000055">
      <w:pPr>
        <w:pStyle w:val="Heading2"/>
        <w:rPr/>
      </w:pPr>
      <w:r w:rsidDel="00000000" w:rsidR="00000000" w:rsidRPr="00000000">
        <w:rPr>
          <w:rtl w:val="0"/>
        </w:rPr>
        <w:t xml:space="preserve">6. Shrnutí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Které dvě součástky v obvodu fungují jako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pevné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proudové omezovací rezistory a která součástka dokáže omezení proudu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plynule měnit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 </w:t>
        <w:br w:type="textWrapping"/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Vysvětlete rozdíl mezi tlačítkem PB1 a potenciometrem P1 z hlediska jejich funkce v obvodu (spínací prvek vs. nastavitelný dělič napětí).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Proč jsou HDR1 a HDR2 provedené jako zásuvné piny (headery), a ne jako pevné pájecí plošky jako u ostatních součástek?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1d1d1b" w:val="clear"/>
        <w:spacing w:after="240" w:before="120" w:lineRule="auto"/>
        <w:jc w:val="center"/>
        <w:rPr/>
      </w:pPr>
      <w:r w:rsidDel="00000000" w:rsidR="00000000" w:rsidRPr="00000000">
        <w:rPr>
          <w:b w:val="1"/>
          <w:bCs w:val="1"/>
          <w:color w:val="fefdf9"/>
          <w:sz w:val="32"/>
          <w:szCs w:val="32"/>
          <w:rtl w:val="0"/>
        </w:rPr>
        <w:t xml:space="preserve">Klíč k řešení – pro vyučujícího</w:t>
      </w:r>
      <w:r w:rsidDel="00000000" w:rsidR="00000000" w:rsidRPr="00000000">
        <w:rPr>
          <w:rtl w:val="0"/>
        </w:rPr>
      </w:r>
    </w:p>
    <w:bookmarkStart w:colFirst="0" w:colLast="0" w:name="bookmark=id.q7sl7a203sbw" w:id="7"/>
    <w:bookmarkEnd w:id="7"/>
    <w:p w:rsidR="00000000" w:rsidDel="00000000" w:rsidP="00000000" w:rsidRDefault="00000000" w:rsidRPr="00000000" w14:paraId="0000005E">
      <w:pPr>
        <w:pStyle w:val="Heading2"/>
        <w:rPr/>
      </w:pPr>
      <w:r w:rsidDel="00000000" w:rsidR="00000000" w:rsidRPr="00000000">
        <w:rPr>
          <w:rtl w:val="0"/>
        </w:rPr>
        <w:t xml:space="preserve">2. Větev R1–D1</w:t>
      </w:r>
    </w:p>
    <w:p w:rsidR="00000000" w:rsidDel="00000000" w:rsidP="00000000" w:rsidRDefault="00000000" w:rsidRPr="00000000" w14:paraId="0000005F">
      <w:pPr>
        <w:numPr>
          <w:ilvl w:val="0"/>
          <w:numId w:val="10"/>
        </w:numPr>
        <w:ind w:left="360" w:hanging="360"/>
        <w:rPr/>
      </w:pPr>
      <w:r w:rsidDel="00000000" w:rsidR="00000000" w:rsidRPr="00000000">
        <w:rPr>
          <w:rtl w:val="0"/>
        </w:rPr>
        <w:t xml:space="preserve">U1 by mělo být naměřeno cca 5 V (tolerance dle zdroje, obvykle 4,9–5,1 V).</w:t>
      </w:r>
    </w:p>
    <w:p w:rsidR="00000000" w:rsidDel="00000000" w:rsidP="00000000" w:rsidRDefault="00000000" w:rsidRPr="00000000" w14:paraId="00000060">
      <w:pPr>
        <w:numPr>
          <w:ilvl w:val="0"/>
          <w:numId w:val="10"/>
        </w:numPr>
        <w:ind w:left="360" w:hanging="360"/>
        <w:rPr/>
      </w:pPr>
      <w:r w:rsidDel="00000000" w:rsidR="00000000" w:rsidRPr="00000000">
        <w:rPr>
          <w:rtl w:val="0"/>
        </w:rPr>
        <w:t xml:space="preserve">Uf červené LED bývá typicky 1,8–2,2 V.</w:t>
      </w:r>
    </w:p>
    <w:p w:rsidR="00000000" w:rsidDel="00000000" w:rsidP="00000000" w:rsidRDefault="00000000" w:rsidRPr="00000000" w14:paraId="00000061">
      <w:pPr>
        <w:numPr>
          <w:ilvl w:val="0"/>
          <w:numId w:val="10"/>
        </w:numPr>
        <w:ind w:left="360" w:hanging="360"/>
        <w:rPr/>
      </w:pPr>
      <w:r w:rsidDel="00000000" w:rsidR="00000000" w:rsidRPr="00000000">
        <w:rPr>
          <w:rtl w:val="0"/>
        </w:rPr>
        <w:t xml:space="preserve">U(R1) je přibližně U1 − Uf, tedy orientačně 2,8–3,2 V.</w:t>
      </w:r>
    </w:p>
    <w:p w:rsidR="00000000" w:rsidDel="00000000" w:rsidP="00000000" w:rsidRDefault="00000000" w:rsidRPr="00000000" w14:paraId="00000062">
      <w:pPr>
        <w:numPr>
          <w:ilvl w:val="0"/>
          <w:numId w:val="10"/>
        </w:numPr>
        <w:ind w:left="360" w:hanging="360"/>
        <w:rPr/>
      </w:pPr>
      <w:r w:rsidDel="00000000" w:rsidR="00000000" w:rsidRPr="00000000">
        <w:rPr>
          <w:rtl w:val="0"/>
        </w:rPr>
        <w:t xml:space="preserve">I1 = U(R1) / R1 ≈ 2,8–3,2 mA. Součet U(R1) + Uf by se měl blížit naměřenému U1.</w:t>
      </w:r>
    </w:p>
    <w:bookmarkStart w:colFirst="0" w:colLast="0" w:name="bookmark=id.yuaxy49fd0bq" w:id="8"/>
    <w:bookmarkEnd w:id="8"/>
    <w:p w:rsidR="00000000" w:rsidDel="00000000" w:rsidP="00000000" w:rsidRDefault="00000000" w:rsidRPr="00000000" w14:paraId="00000063">
      <w:pPr>
        <w:pStyle w:val="Heading2"/>
        <w:rPr/>
      </w:pPr>
      <w:r w:rsidDel="00000000" w:rsidR="00000000" w:rsidRPr="00000000">
        <w:rPr>
          <w:rtl w:val="0"/>
        </w:rPr>
        <w:t xml:space="preserve">3. Tlačítko PB1 a větev R2–D2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1)-2) Nestisknuté tlačítko: nekonečný odpor (OL). Stisknuté: blízko 0 Ω.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3)-4) U(R2) přibližně U1 − Uf, tedy orientačně 2,8–3,2 V (Uf 1,8–2,2 V jako u D1, stejný typ LED).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/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I2 = U(R2) / R2 ≈ 9,3–10,7 mA. Protože I2 &gt; I1 (menší R2 = větší proud), D2 by měla svítit znatelně jasněji než D1.</w:t>
      </w:r>
    </w:p>
    <w:bookmarkStart w:colFirst="0" w:colLast="0" w:name="bookmark=id.oui8lh57h4zl" w:id="9"/>
    <w:bookmarkEnd w:id="9"/>
    <w:p w:rsidR="00000000" w:rsidDel="00000000" w:rsidP="00000000" w:rsidRDefault="00000000" w:rsidRPr="00000000" w14:paraId="00000067">
      <w:pPr>
        <w:pStyle w:val="Heading2"/>
        <w:rPr/>
      </w:pPr>
      <w:r w:rsidDel="00000000" w:rsidR="00000000" w:rsidRPr="00000000">
        <w:rPr>
          <w:rtl w:val="0"/>
        </w:rPr>
        <w:t xml:space="preserve">4. Potenciometr P1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Napětí by se mělo plynule měnit přibližně od 0 V po jednom dorazu až po cca 5 V po druhém dorazu, s přibližně polovinou napájecího napětí (~2,5 V) uprostřed rozsahu (u lineárního potenciometru bez zátěže).</w:t>
      </w:r>
    </w:p>
    <w:bookmarkStart w:colFirst="0" w:colLast="0" w:name="bookmark=id.ryz45q511zdi" w:id="10"/>
    <w:bookmarkEnd w:id="10"/>
    <w:p w:rsidR="00000000" w:rsidDel="00000000" w:rsidP="00000000" w:rsidRDefault="00000000" w:rsidRPr="00000000" w14:paraId="00000069">
      <w:pPr>
        <w:pStyle w:val="Heading2"/>
        <w:rPr/>
      </w:pPr>
      <w:r w:rsidDel="00000000" w:rsidR="00000000" w:rsidRPr="00000000">
        <w:rPr>
          <w:rtl w:val="0"/>
        </w:rPr>
        <w:t xml:space="preserve">5. Experiment: Kdy se LED zničí?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 poškození LED dochází v té části rozsahu, kde se odpor mezi V1 a jezdcem (horní rameno potenciometru) blíží k 0 Ω – prakticky veškeré napájecí napětí (5 V) se pak objevuje přímo na LED bez jakéhokoli omezení proudu. Protože dynamický odpor LED v propustném směru je velmi malý, prudce naroste proud (řádově stovky mA až jednotky A, limitováno jen zdrojem a vnitřním odporem potenciometru), LED se prudce zahřeje a zničí (spálené pouzdro, přerušený spoj uvnitř).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 R1–D1 a R2–D2 je naopak proud vždy omezen pevným rezistorem (1 kΩ, resp. 300 Ω), i kdyby se cokoliv jiného v obvodu změnilo – proto tam ke zničení LED běžně nedochází.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Bonus: R = (U1 − Uf) / Imax = (5 − 2) / 0,02 = 150 Ω. V praxi by se volil rezistor s bezpečnou rezervou, např. 150–220 Ω.</w:t>
      </w:r>
    </w:p>
    <w:p w:rsidR="00000000" w:rsidDel="00000000" w:rsidP="00000000" w:rsidRDefault="00000000" w:rsidRPr="00000000" w14:paraId="0000006D">
      <w:pPr>
        <w:pStyle w:val="Heading2"/>
        <w:rPr/>
      </w:pPr>
      <w:r w:rsidDel="00000000" w:rsidR="00000000" w:rsidRPr="00000000">
        <w:rPr>
          <w:rtl w:val="0"/>
        </w:rPr>
        <w:t xml:space="preserve">Jednotky a převody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mA = 0,005 A = 5000 µA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1,5 kΩ = 1500 Ω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0,047 µF = 47 nF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 mV = 0,012 V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2 200 µF = 0,0022 F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Proud I1 (např. naměřených 3 mA): 3 mA = 3000 µA = 0,003 A. Pomůcka: 1 mA = 1000 µA, 1 A = 1000 mA.</w:t>
      </w:r>
    </w:p>
    <w:bookmarkStart w:colFirst="0" w:colLast="0" w:name="bookmark=id.hgq1mdo556wa" w:id="11"/>
    <w:bookmarkEnd w:id="11"/>
    <w:p w:rsidR="00000000" w:rsidDel="00000000" w:rsidP="00000000" w:rsidRDefault="00000000" w:rsidRPr="00000000" w14:paraId="00000074">
      <w:pPr>
        <w:pStyle w:val="Heading2"/>
        <w:rPr/>
      </w:pPr>
      <w:r w:rsidDel="00000000" w:rsidR="00000000" w:rsidRPr="00000000">
        <w:rPr>
          <w:rtl w:val="0"/>
        </w:rPr>
        <w:t xml:space="preserve">6. Shrnutí</w:t>
      </w:r>
    </w:p>
    <w:p w:rsidR="00000000" w:rsidDel="00000000" w:rsidP="00000000" w:rsidRDefault="00000000" w:rsidRPr="00000000" w14:paraId="00000075">
      <w:pPr>
        <w:numPr>
          <w:ilvl w:val="0"/>
          <w:numId w:val="12"/>
        </w:numPr>
        <w:ind w:left="360" w:hanging="360"/>
        <w:rPr/>
      </w:pPr>
      <w:r w:rsidDel="00000000" w:rsidR="00000000" w:rsidRPr="00000000">
        <w:rPr>
          <w:rtl w:val="0"/>
        </w:rPr>
        <w:t xml:space="preserve">Pevné omezovací rezistory: R1 a R2. Plynule proměnná součástka: potenciometr P1.</w:t>
      </w:r>
    </w:p>
    <w:p w:rsidR="00000000" w:rsidDel="00000000" w:rsidP="00000000" w:rsidRDefault="00000000" w:rsidRPr="00000000" w14:paraId="00000076">
      <w:pPr>
        <w:numPr>
          <w:ilvl w:val="0"/>
          <w:numId w:val="12"/>
        </w:numPr>
        <w:ind w:left="360" w:hanging="360"/>
        <w:rPr/>
      </w:pPr>
      <w:r w:rsidDel="00000000" w:rsidR="00000000" w:rsidRPr="00000000">
        <w:rPr>
          <w:rtl w:val="0"/>
        </w:rPr>
        <w:t xml:space="preserve">Tlačítko PB1 je dvoustavový spínač (obvod buď zcela sepnutý, nebo zcela rozepnutý) – nemění hodnotu proudu, jen ho zapíná/vypíná. Potenciometr P1 je plynule nastavitelný dělič napětí – mění velikost výstupního napětí/proudu spojitě podle natočení.</w:t>
      </w:r>
    </w:p>
    <w:p w:rsidR="00000000" w:rsidDel="00000000" w:rsidP="00000000" w:rsidRDefault="00000000" w:rsidRPr="00000000" w14:paraId="00000077">
      <w:pPr>
        <w:numPr>
          <w:ilvl w:val="0"/>
          <w:numId w:val="12"/>
        </w:numPr>
        <w:ind w:left="360" w:hanging="360"/>
        <w:rPr/>
      </w:pPr>
      <w:r w:rsidDel="00000000" w:rsidR="00000000" w:rsidRPr="00000000">
        <w:rPr>
          <w:rtl w:val="0"/>
        </w:rPr>
        <w:t xml:space="preserve">Headery umožňují bez pájení zasunout, vyměnit nebo odebrat externí součástku (např. testovací LED) – užitečné právě pro destruktivní nebo opakovaná měření, aniž by se poškodila permanentně zapájená deska.</w:t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2">
    <w:lvl w:ilvl="0">
      <w:start w:val="4"/>
      <w:numFmt w:val="decimal"/>
      <w:lvlText w:val="%1)"/>
      <w:lvlJc w:val="left"/>
      <w:pPr>
        <w:ind w:left="360" w:hanging="360"/>
      </w:pPr>
      <w:rPr/>
    </w:lvl>
    <w:lvl w:ilvl="1">
      <w:start w:val="4"/>
      <w:numFmt w:val="decimal"/>
      <w:lvlText w:val="%2)"/>
      <w:lvlJc w:val="left"/>
      <w:pPr>
        <w:ind w:left="1080" w:hanging="360"/>
      </w:pPr>
      <w:rPr/>
    </w:lvl>
    <w:lvl w:ilvl="2">
      <w:start w:val="4"/>
      <w:numFmt w:val="decimal"/>
      <w:lvlText w:val="%3)"/>
      <w:lvlJc w:val="left"/>
      <w:pPr>
        <w:ind w:left="1800" w:hanging="360"/>
      </w:pPr>
      <w:rPr/>
    </w:lvl>
    <w:lvl w:ilvl="3">
      <w:start w:val="4"/>
      <w:numFmt w:val="decimal"/>
      <w:lvlText w:val="%4)"/>
      <w:lvlJc w:val="left"/>
      <w:pPr>
        <w:ind w:left="2520" w:hanging="360"/>
      </w:pPr>
      <w:rPr/>
    </w:lvl>
    <w:lvl w:ilvl="4">
      <w:start w:val="4"/>
      <w:numFmt w:val="decimal"/>
      <w:lvlText w:val="%5)"/>
      <w:lvlJc w:val="left"/>
      <w:pPr>
        <w:ind w:left="3240" w:hanging="360"/>
      </w:pPr>
      <w:rPr/>
    </w:lvl>
    <w:lvl w:ilvl="5">
      <w:start w:val="4"/>
      <w:numFmt w:val="decimal"/>
      <w:lvlText w:val="%6)"/>
      <w:lvlJc w:val="left"/>
      <w:pPr>
        <w:ind w:left="3960" w:hanging="360"/>
      </w:pPr>
      <w:rPr/>
    </w:lvl>
    <w:lvl w:ilvl="6">
      <w:start w:val="4"/>
      <w:numFmt w:val="decimal"/>
      <w:lvlText w:val="%7)"/>
      <w:lvlJc w:val="left"/>
      <w:pPr>
        <w:ind w:left="4680" w:hanging="360"/>
      </w:pPr>
      <w:rPr/>
    </w:lvl>
    <w:lvl w:ilvl="7">
      <w:start w:val="4"/>
      <w:numFmt w:val="decimal"/>
      <w:lvlText w:val="%8)"/>
      <w:lvlJc w:val="left"/>
      <w:pPr>
        <w:ind w:left="5400" w:hanging="360"/>
      </w:pPr>
      <w:rPr/>
    </w:lvl>
    <w:lvl w:ilvl="8">
      <w:start w:val="4"/>
      <w:numFmt w:val="decimal"/>
      <w:lvlText w:val="%9)"/>
      <w:lvlJc w:val="left"/>
      <w:pPr>
        <w:ind w:left="6120" w:hanging="36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4">
    <w:lvl w:ilvl="0">
      <w:start w:val="4"/>
      <w:numFmt w:val="decimal"/>
      <w:lvlText w:val="%1)"/>
      <w:lvlJc w:val="left"/>
      <w:pPr>
        <w:ind w:left="360" w:hanging="360"/>
      </w:pPr>
      <w:rPr/>
    </w:lvl>
    <w:lvl w:ilvl="1">
      <w:start w:val="4"/>
      <w:numFmt w:val="decimal"/>
      <w:lvlText w:val="%2)"/>
      <w:lvlJc w:val="left"/>
      <w:pPr>
        <w:ind w:left="1080" w:hanging="360"/>
      </w:pPr>
      <w:rPr/>
    </w:lvl>
    <w:lvl w:ilvl="2">
      <w:start w:val="4"/>
      <w:numFmt w:val="decimal"/>
      <w:lvlText w:val="%3)"/>
      <w:lvlJc w:val="left"/>
      <w:pPr>
        <w:ind w:left="1800" w:hanging="360"/>
      </w:pPr>
      <w:rPr/>
    </w:lvl>
    <w:lvl w:ilvl="3">
      <w:start w:val="4"/>
      <w:numFmt w:val="decimal"/>
      <w:lvlText w:val="%4)"/>
      <w:lvlJc w:val="left"/>
      <w:pPr>
        <w:ind w:left="2520" w:hanging="360"/>
      </w:pPr>
      <w:rPr/>
    </w:lvl>
    <w:lvl w:ilvl="4">
      <w:start w:val="4"/>
      <w:numFmt w:val="decimal"/>
      <w:lvlText w:val="%5)"/>
      <w:lvlJc w:val="left"/>
      <w:pPr>
        <w:ind w:left="3240" w:hanging="360"/>
      </w:pPr>
      <w:rPr/>
    </w:lvl>
    <w:lvl w:ilvl="5">
      <w:start w:val="4"/>
      <w:numFmt w:val="decimal"/>
      <w:lvlText w:val="%6)"/>
      <w:lvlJc w:val="left"/>
      <w:pPr>
        <w:ind w:left="3960" w:hanging="360"/>
      </w:pPr>
      <w:rPr/>
    </w:lvl>
    <w:lvl w:ilvl="6">
      <w:start w:val="4"/>
      <w:numFmt w:val="decimal"/>
      <w:lvlText w:val="%7)"/>
      <w:lvlJc w:val="left"/>
      <w:pPr>
        <w:ind w:left="4680" w:hanging="360"/>
      </w:pPr>
      <w:rPr/>
    </w:lvl>
    <w:lvl w:ilvl="7">
      <w:start w:val="4"/>
      <w:numFmt w:val="decimal"/>
      <w:lvlText w:val="%8)"/>
      <w:lvlJc w:val="left"/>
      <w:pPr>
        <w:ind w:left="5400" w:hanging="360"/>
      </w:pPr>
      <w:rPr/>
    </w:lvl>
    <w:lvl w:ilvl="8">
      <w:start w:val="4"/>
      <w:numFmt w:val="decimal"/>
      <w:lvlText w:val="%9)"/>
      <w:lvlJc w:val="left"/>
      <w:pPr>
        <w:ind w:left="6120" w:hanging="360"/>
      </w:pPr>
      <w:rPr/>
    </w:lvl>
  </w:abstractNum>
  <w:abstractNum w:abstractNumId="5">
    <w:lvl w:ilvl="0">
      <w:start w:val="5"/>
      <w:numFmt w:val="decimal"/>
      <w:lvlText w:val="%1)"/>
      <w:lvlJc w:val="left"/>
      <w:pPr>
        <w:ind w:left="360" w:hanging="360"/>
      </w:pPr>
      <w:rPr/>
    </w:lvl>
    <w:lvl w:ilvl="1">
      <w:start w:val="5"/>
      <w:numFmt w:val="decimal"/>
      <w:lvlText w:val="%2)"/>
      <w:lvlJc w:val="left"/>
      <w:pPr>
        <w:ind w:left="1080" w:hanging="360"/>
      </w:pPr>
      <w:rPr/>
    </w:lvl>
    <w:lvl w:ilvl="2">
      <w:start w:val="5"/>
      <w:numFmt w:val="decimal"/>
      <w:lvlText w:val="%3)"/>
      <w:lvlJc w:val="left"/>
      <w:pPr>
        <w:ind w:left="1800" w:hanging="360"/>
      </w:pPr>
      <w:rPr/>
    </w:lvl>
    <w:lvl w:ilvl="3">
      <w:start w:val="5"/>
      <w:numFmt w:val="decimal"/>
      <w:lvlText w:val="%4)"/>
      <w:lvlJc w:val="left"/>
      <w:pPr>
        <w:ind w:left="2520" w:hanging="360"/>
      </w:pPr>
      <w:rPr/>
    </w:lvl>
    <w:lvl w:ilvl="4">
      <w:start w:val="5"/>
      <w:numFmt w:val="decimal"/>
      <w:lvlText w:val="%5)"/>
      <w:lvlJc w:val="left"/>
      <w:pPr>
        <w:ind w:left="3240" w:hanging="360"/>
      </w:pPr>
      <w:rPr/>
    </w:lvl>
    <w:lvl w:ilvl="5">
      <w:start w:val="5"/>
      <w:numFmt w:val="decimal"/>
      <w:lvlText w:val="%6)"/>
      <w:lvlJc w:val="left"/>
      <w:pPr>
        <w:ind w:left="3960" w:hanging="360"/>
      </w:pPr>
      <w:rPr/>
    </w:lvl>
    <w:lvl w:ilvl="6">
      <w:start w:val="5"/>
      <w:numFmt w:val="decimal"/>
      <w:lvlText w:val="%7)"/>
      <w:lvlJc w:val="left"/>
      <w:pPr>
        <w:ind w:left="4680" w:hanging="360"/>
      </w:pPr>
      <w:rPr/>
    </w:lvl>
    <w:lvl w:ilvl="7">
      <w:start w:val="5"/>
      <w:numFmt w:val="decimal"/>
      <w:lvlText w:val="%8)"/>
      <w:lvlJc w:val="left"/>
      <w:pPr>
        <w:ind w:left="5400" w:hanging="360"/>
      </w:pPr>
      <w:rPr/>
    </w:lvl>
    <w:lvl w:ilvl="8">
      <w:start w:val="5"/>
      <w:numFmt w:val="decimal"/>
      <w:lvlText w:val="%9)"/>
      <w:lvlJc w:val="left"/>
      <w:pPr>
        <w:ind w:left="6120" w:hanging="360"/>
      </w:pPr>
      <w:rPr/>
    </w:lvl>
  </w:abstractNum>
  <w:abstractNum w:abstractNumId="6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7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8">
    <w:lvl w:ilvl="0">
      <w:start w:val="2"/>
      <w:numFmt w:val="decimal"/>
      <w:lvlText w:val="%1)"/>
      <w:lvlJc w:val="left"/>
      <w:pPr>
        <w:ind w:left="360" w:hanging="360"/>
      </w:pPr>
      <w:rPr/>
    </w:lvl>
    <w:lvl w:ilvl="1">
      <w:start w:val="2"/>
      <w:numFmt w:val="decimal"/>
      <w:lvlText w:val="%2)"/>
      <w:lvlJc w:val="left"/>
      <w:pPr>
        <w:ind w:left="1080" w:hanging="360"/>
      </w:pPr>
      <w:rPr/>
    </w:lvl>
    <w:lvl w:ilvl="2">
      <w:start w:val="2"/>
      <w:numFmt w:val="decimal"/>
      <w:lvlText w:val="%3)"/>
      <w:lvlJc w:val="left"/>
      <w:pPr>
        <w:ind w:left="1800" w:hanging="360"/>
      </w:pPr>
      <w:rPr/>
    </w:lvl>
    <w:lvl w:ilvl="3">
      <w:start w:val="2"/>
      <w:numFmt w:val="decimal"/>
      <w:lvlText w:val="%4)"/>
      <w:lvlJc w:val="left"/>
      <w:pPr>
        <w:ind w:left="2520" w:hanging="360"/>
      </w:pPr>
      <w:rPr/>
    </w:lvl>
    <w:lvl w:ilvl="4">
      <w:start w:val="2"/>
      <w:numFmt w:val="decimal"/>
      <w:lvlText w:val="%5)"/>
      <w:lvlJc w:val="left"/>
      <w:pPr>
        <w:ind w:left="3240" w:hanging="360"/>
      </w:pPr>
      <w:rPr/>
    </w:lvl>
    <w:lvl w:ilvl="5">
      <w:start w:val="2"/>
      <w:numFmt w:val="decimal"/>
      <w:lvlText w:val="%6)"/>
      <w:lvlJc w:val="left"/>
      <w:pPr>
        <w:ind w:left="3960" w:hanging="360"/>
      </w:pPr>
      <w:rPr/>
    </w:lvl>
    <w:lvl w:ilvl="6">
      <w:start w:val="2"/>
      <w:numFmt w:val="decimal"/>
      <w:lvlText w:val="%7)"/>
      <w:lvlJc w:val="left"/>
      <w:pPr>
        <w:ind w:left="4680" w:hanging="360"/>
      </w:pPr>
      <w:rPr/>
    </w:lvl>
    <w:lvl w:ilvl="7">
      <w:start w:val="2"/>
      <w:numFmt w:val="decimal"/>
      <w:lvlText w:val="%8)"/>
      <w:lvlJc w:val="left"/>
      <w:pPr>
        <w:ind w:left="5400" w:hanging="360"/>
      </w:pPr>
      <w:rPr/>
    </w:lvl>
    <w:lvl w:ilvl="8">
      <w:start w:val="2"/>
      <w:numFmt w:val="decimal"/>
      <w:lvlText w:val="%9)"/>
      <w:lvlJc w:val="left"/>
      <w:pPr>
        <w:ind w:left="6120" w:hanging="360"/>
      </w:pPr>
      <w:rPr/>
    </w:lvl>
  </w:abstractNum>
  <w:abstractNum w:abstractNumId="9">
    <w:lvl w:ilvl="0">
      <w:start w:val="3"/>
      <w:numFmt w:val="decimal"/>
      <w:lvlText w:val="%1)"/>
      <w:lvlJc w:val="left"/>
      <w:pPr>
        <w:ind w:left="360" w:hanging="360"/>
      </w:pPr>
      <w:rPr/>
    </w:lvl>
    <w:lvl w:ilvl="1">
      <w:start w:val="3"/>
      <w:numFmt w:val="decimal"/>
      <w:lvlText w:val="%2)"/>
      <w:lvlJc w:val="left"/>
      <w:pPr>
        <w:ind w:left="1080" w:hanging="360"/>
      </w:pPr>
      <w:rPr/>
    </w:lvl>
    <w:lvl w:ilvl="2">
      <w:start w:val="3"/>
      <w:numFmt w:val="decimal"/>
      <w:lvlText w:val="%3)"/>
      <w:lvlJc w:val="left"/>
      <w:pPr>
        <w:ind w:left="1800" w:hanging="360"/>
      </w:pPr>
      <w:rPr/>
    </w:lvl>
    <w:lvl w:ilvl="3">
      <w:start w:val="3"/>
      <w:numFmt w:val="decimal"/>
      <w:lvlText w:val="%4)"/>
      <w:lvlJc w:val="left"/>
      <w:pPr>
        <w:ind w:left="2520" w:hanging="360"/>
      </w:pPr>
      <w:rPr/>
    </w:lvl>
    <w:lvl w:ilvl="4">
      <w:start w:val="3"/>
      <w:numFmt w:val="decimal"/>
      <w:lvlText w:val="%5)"/>
      <w:lvlJc w:val="left"/>
      <w:pPr>
        <w:ind w:left="3240" w:hanging="360"/>
      </w:pPr>
      <w:rPr/>
    </w:lvl>
    <w:lvl w:ilvl="5">
      <w:start w:val="3"/>
      <w:numFmt w:val="decimal"/>
      <w:lvlText w:val="%6)"/>
      <w:lvlJc w:val="left"/>
      <w:pPr>
        <w:ind w:left="3960" w:hanging="360"/>
      </w:pPr>
      <w:rPr/>
    </w:lvl>
    <w:lvl w:ilvl="6">
      <w:start w:val="3"/>
      <w:numFmt w:val="decimal"/>
      <w:lvlText w:val="%7)"/>
      <w:lvlJc w:val="left"/>
      <w:pPr>
        <w:ind w:left="4680" w:hanging="360"/>
      </w:pPr>
      <w:rPr/>
    </w:lvl>
    <w:lvl w:ilvl="7">
      <w:start w:val="3"/>
      <w:numFmt w:val="decimal"/>
      <w:lvlText w:val="%8)"/>
      <w:lvlJc w:val="left"/>
      <w:pPr>
        <w:ind w:left="5400" w:hanging="360"/>
      </w:pPr>
      <w:rPr/>
    </w:lvl>
    <w:lvl w:ilvl="8">
      <w:start w:val="3"/>
      <w:numFmt w:val="decimal"/>
      <w:lvlText w:val="%9)"/>
      <w:lvlJc w:val="left"/>
      <w:pPr>
        <w:ind w:left="6120" w:hanging="360"/>
      </w:pPr>
      <w:rPr/>
    </w:lvl>
  </w:abstractNum>
  <w:abstractNum w:abstractNumId="10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11">
    <w:lvl w:ilvl="0">
      <w:start w:val="5"/>
      <w:numFmt w:val="decimal"/>
      <w:lvlText w:val="%1)"/>
      <w:lvlJc w:val="left"/>
      <w:pPr>
        <w:ind w:left="360" w:hanging="360"/>
      </w:pPr>
      <w:rPr/>
    </w:lvl>
    <w:lvl w:ilvl="1">
      <w:start w:val="5"/>
      <w:numFmt w:val="decimal"/>
      <w:lvlText w:val="%2)"/>
      <w:lvlJc w:val="left"/>
      <w:pPr>
        <w:ind w:left="1080" w:hanging="360"/>
      </w:pPr>
      <w:rPr/>
    </w:lvl>
    <w:lvl w:ilvl="2">
      <w:start w:val="5"/>
      <w:numFmt w:val="decimal"/>
      <w:lvlText w:val="%3)"/>
      <w:lvlJc w:val="left"/>
      <w:pPr>
        <w:ind w:left="1800" w:hanging="360"/>
      </w:pPr>
      <w:rPr/>
    </w:lvl>
    <w:lvl w:ilvl="3">
      <w:start w:val="5"/>
      <w:numFmt w:val="decimal"/>
      <w:lvlText w:val="%4)"/>
      <w:lvlJc w:val="left"/>
      <w:pPr>
        <w:ind w:left="2520" w:hanging="360"/>
      </w:pPr>
      <w:rPr/>
    </w:lvl>
    <w:lvl w:ilvl="4">
      <w:start w:val="5"/>
      <w:numFmt w:val="decimal"/>
      <w:lvlText w:val="%5)"/>
      <w:lvlJc w:val="left"/>
      <w:pPr>
        <w:ind w:left="3240" w:hanging="360"/>
      </w:pPr>
      <w:rPr/>
    </w:lvl>
    <w:lvl w:ilvl="5">
      <w:start w:val="5"/>
      <w:numFmt w:val="decimal"/>
      <w:lvlText w:val="%6)"/>
      <w:lvlJc w:val="left"/>
      <w:pPr>
        <w:ind w:left="3960" w:hanging="360"/>
      </w:pPr>
      <w:rPr/>
    </w:lvl>
    <w:lvl w:ilvl="6">
      <w:start w:val="5"/>
      <w:numFmt w:val="decimal"/>
      <w:lvlText w:val="%7)"/>
      <w:lvlJc w:val="left"/>
      <w:pPr>
        <w:ind w:left="4680" w:hanging="360"/>
      </w:pPr>
      <w:rPr/>
    </w:lvl>
    <w:lvl w:ilvl="7">
      <w:start w:val="5"/>
      <w:numFmt w:val="decimal"/>
      <w:lvlText w:val="%8)"/>
      <w:lvlJc w:val="left"/>
      <w:pPr>
        <w:ind w:left="5400" w:hanging="360"/>
      </w:pPr>
      <w:rPr/>
    </w:lvl>
    <w:lvl w:ilvl="8">
      <w:start w:val="5"/>
      <w:numFmt w:val="decimal"/>
      <w:lvlText w:val="%9)"/>
      <w:lvlJc w:val="left"/>
      <w:pPr>
        <w:ind w:left="6120" w:hanging="360"/>
      </w:pPr>
      <w:rPr/>
    </w:lvl>
  </w:abstractNum>
  <w:abstractNum w:abstractNumId="12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14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15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sz w:val="24"/>
        <w:szCs w:val="24"/>
        <w:lang w:val="cs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deded9" w:space="4" w:sz="4" w:val="single"/>
      </w:pBdr>
      <w:spacing w:after="160" w:before="360" w:lineRule="auto"/>
    </w:pPr>
    <w:rPr>
      <w:rFonts w:ascii="Poppins" w:cs="Poppins" w:eastAsia="Poppins" w:hAnsi="Poppins"/>
      <w:color w:val="1d1d1b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oppins" w:cs="Poppins" w:eastAsia="Poppins" w:hAnsi="Poppins"/>
      <w:color w:val="151514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151514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15151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15151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Poppins" w:cs="Poppins" w:eastAsia="Poppins" w:hAnsi="Poppins"/>
      <w:sz w:val="56"/>
      <w:szCs w:val="56"/>
    </w:rPr>
  </w:style>
  <w:style w:type="paragraph" w:styleId="Nadpis7">
    <w:name w:val="heading 7"/>
    <w:basedOn w:val="Normln"/>
    <w:next w:val="Zkladntext"/>
    <w:link w:val="Nadpis7Char"/>
    <w:uiPriority w:val="9"/>
    <w:semiHidden w:val="1"/>
    <w:unhideWhenUsed w:val="1"/>
    <w:qFormat w:val="1"/>
    <w:rsid w:val="00A10FD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basedOn w:val="Normln"/>
    <w:next w:val="Zkladntext"/>
    <w:link w:val="Nadpis8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basedOn w:val="Normln"/>
    <w:next w:val="Zkladntext"/>
    <w:link w:val="Nadpis9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kladntext">
    <w:name w:val="Body Text"/>
    <w:basedOn w:val="Normln"/>
    <w:qFormat w:val="1"/>
    <w:pPr>
      <w:spacing w:after="180" w:before="180"/>
    </w:pPr>
  </w:style>
  <w:style w:type="paragraph" w:styleId="FirstParagraph" w:customStyle="1">
    <w:name w:val="First Paragraph"/>
    <w:basedOn w:val="Zkladntext"/>
    <w:next w:val="Zkladntext"/>
    <w:qFormat w:val="1"/>
  </w:style>
  <w:style w:type="paragraph" w:styleId="Compact" w:customStyle="1">
    <w:name w:val="Compact"/>
    <w:basedOn w:val="Zkladntext"/>
    <w:qFormat w:val="1"/>
    <w:pPr>
      <w:spacing w:after="36" w:before="36"/>
    </w:pPr>
  </w:style>
  <w:style w:type="character" w:styleId="NzevChar" w:customStyle="1">
    <w:name w:val="Název Char"/>
    <w:basedOn w:val="Standardnpsmoodstavce"/>
    <w:link w:val="Nzev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type="character" w:styleId="PodnadpisChar" w:customStyle="1">
    <w:name w:val="Podnadpis Char"/>
    <w:basedOn w:val="Standardnpsmoodstavce"/>
    <w:link w:val="Podnadpis"/>
    <w:uiPriority w:val="11"/>
    <w:rsid w:val="00A10FD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uthor" w:customStyle="1">
    <w:name w:val="Author"/>
    <w:basedOn w:val="Nzev"/>
    <w:next w:val="Zkladntext"/>
    <w:qFormat w:val="1"/>
    <w:pPr>
      <w:keepNext w:val="1"/>
      <w:keepLines w:val="1"/>
    </w:pPr>
    <w:rPr>
      <w:sz w:val="24"/>
      <w:szCs w:val="24"/>
    </w:rPr>
  </w:style>
  <w:style w:type="paragraph" w:styleId="Datum">
    <w:name w:val="Date"/>
    <w:basedOn w:val="Nzev"/>
    <w:next w:val="Zkladntext"/>
    <w:qFormat w:val="1"/>
    <w:pPr>
      <w:keepNext w:val="1"/>
      <w:keepLines w:val="1"/>
    </w:pPr>
    <w:rPr>
      <w:sz w:val="24"/>
      <w:szCs w:val="24"/>
    </w:rPr>
  </w:style>
  <w:style w:type="paragraph" w:styleId="AbstractTitle" w:customStyle="1">
    <w:name w:val="Abstract Title"/>
    <w:basedOn w:val="Normln"/>
    <w:next w:val="Abstract"/>
    <w:qFormat w:val="1"/>
    <w:pPr>
      <w:keepNext w:val="1"/>
      <w:keepLines w:val="1"/>
      <w:spacing w:after="0" w:before="300"/>
      <w:jc w:val="center"/>
    </w:pPr>
    <w:rPr>
      <w:b w:val="1"/>
      <w:sz w:val="20"/>
      <w:szCs w:val="20"/>
    </w:rPr>
  </w:style>
  <w:style w:type="paragraph" w:styleId="Abstract" w:customStyle="1">
    <w:name w:val="Abstract"/>
    <w:basedOn w:val="Normln"/>
    <w:next w:val="Zkladntext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fie">
    <w:name w:val="Bibliography"/>
    <w:basedOn w:val="Normln"/>
    <w:qFormat w:val="1"/>
  </w:style>
  <w:style w:type="character" w:styleId="Nadpis1Char" w:customStyle="1">
    <w:name w:val="Nadpis 1 Char"/>
    <w:basedOn w:val="Standardnpsmoodstavce"/>
    <w:link w:val="Nadpis1"/>
    <w:uiPriority w:val="9"/>
    <w:rsid w:val="00A10FD9"/>
    <w:rPr>
      <w:rFonts w:asciiTheme="majorHAnsi" w:cstheme="majorBidi" w:eastAsiaTheme="majorEastAsia" w:hAnsiTheme="majorHAnsi"/>
      <w:color w:val="1d1d1b"/>
      <w:sz w:val="32"/>
      <w:szCs w:val="32"/>
    </w:rPr>
  </w:style>
  <w:style w:type="character" w:styleId="Nadpis2Char" w:customStyle="1">
    <w:name w:val="Nadpis 2 Char"/>
    <w:basedOn w:val="Standardnpsmoodstavce"/>
    <w:link w:val="Nadpis2"/>
    <w:uiPriority w:val="9"/>
    <w:rsid w:val="00A10FD9"/>
    <w:rPr>
      <w:rFonts w:asciiTheme="majorHAnsi" w:cstheme="majorBidi" w:eastAsiaTheme="majorEastAsia" w:hAnsiTheme="majorHAnsi"/>
      <w:color w:val="1d1d1b" w:themeColor="accent1" w:themeShade="0000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 w:val="1"/>
    <w:rsid w:val="00A10FD9"/>
    <w:rPr>
      <w:rFonts w:cstheme="majorBidi" w:eastAsiaTheme="majorEastAsia"/>
      <w:color w:val="1d1d1b" w:themeColor="accent1" w:themeShade="0000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A10FD9"/>
    <w:rPr>
      <w:rFonts w:cstheme="majorBidi" w:eastAsiaTheme="majorEastAsia"/>
      <w:i w:val="1"/>
      <w:iCs w:val="1"/>
      <w:color w:val="1d1d1b" w:themeColor="accent1" w:themeShade="0000BF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A10FD9"/>
    <w:rPr>
      <w:rFonts w:cstheme="majorBidi" w:eastAsiaTheme="majorEastAsia"/>
      <w:color w:val="1d1d1b" w:themeColor="accent1" w:themeShade="0000B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A10FD9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A10FD9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A10FD9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A10FD9"/>
    <w:rPr>
      <w:rFonts w:cstheme="majorBidi" w:eastAsiaTheme="majorEastAsia"/>
      <w:color w:val="272727" w:themeColor="text1" w:themeTint="0000D8"/>
    </w:rPr>
  </w:style>
  <w:style w:type="paragraph" w:styleId="Textvbloku">
    <w:name w:val="Block Text"/>
    <w:basedOn w:val="Zkladntext"/>
    <w:next w:val="Zkladntext"/>
    <w:uiPriority w:val="9"/>
    <w:unhideWhenUsed w:val="1"/>
    <w:qFormat w:val="1"/>
    <w:pPr>
      <w:spacing w:after="100" w:before="100"/>
      <w:ind w:left="480" w:right="480"/>
    </w:pPr>
  </w:style>
  <w:style w:type="paragraph" w:styleId="Textpoznpodarou">
    <w:name w:val="footnote text"/>
    <w:basedOn w:val="Normln"/>
    <w:uiPriority w:val="9"/>
    <w:unhideWhenUsed w:val="1"/>
    <w:qFormat w:val="1"/>
  </w:style>
  <w:style w:type="paragraph" w:styleId="FootnoteBlockText" w:customStyle="1">
    <w:name w:val="Footnote Block Text"/>
    <w:basedOn w:val="Textpoznpodarou"/>
    <w:next w:val="Textpoznpodarou"/>
    <w:uiPriority w:val="9"/>
    <w:unhideWhenUsed w:val="1"/>
    <w:qFormat w:val="1"/>
    <w:pPr>
      <w:spacing w:after="100" w:before="100"/>
      <w:ind w:left="480" w:right="480"/>
    </w:pPr>
  </w:style>
  <w:style w:type="table" w:styleId="Table" w:customStyle="1">
    <w:name w:val="Table"/>
    <w:semiHidden w:val="1"/>
    <w:unhideWhenUsed w:val="1"/>
    <w:qFormat w:val="1"/>
    <w:tblPr>
      <w:tblInd w:w="0.0" w:type="dxa"/>
      <w:tblBorders>
        <w:top w:color="deded9" w:space="0" w:sz="4" w:val="single"/>
        <w:left w:color="deded9" w:space="0" w:sz="4" w:val="single"/>
        <w:bottom w:color="deded9" w:space="0" w:sz="4" w:val="single"/>
        <w:right w:color="deded9" w:space="0" w:sz="4" w:val="single"/>
        <w:insideH w:color="deded9" w:space="0" w:sz="4" w:val="single"/>
        <w:insideV w:color="deded9" w:space="0" w:sz="4" w:val="single"/>
      </w:tblBorders>
      <w:tblCellMar>
        <w:top w:w="60.0" w:type="dxa"/>
        <w:left w:w="108.0" w:type="dxa"/>
        <w:bottom w:w="60.0" w:type="dxa"/>
        <w:right w:w="108.0" w:type="dxa"/>
      </w:tblCellMar>
    </w:tblPr>
    <w:tblStylePr w:type="firstRow">
      <w:pPr>
        <w:jc w:val="left"/>
      </w:pPr>
      <w:rPr>
        <w:b w:val="1"/>
        <w:color w:val="1d1d1b"/>
      </w:rPr>
      <w:tblPr/>
      <w:tcPr>
        <w:tcBorders>
          <w:bottom w:color="deded9" w:space="0" w:sz="4" w:val="single"/>
        </w:tcBorders>
        <w:shd w:color="auto" w:fill="f2f2f0" w:val="clear"/>
        <w:vAlign w:val="center"/>
      </w:tcPr>
    </w:tblStylePr>
  </w:style>
  <w:style w:type="paragraph" w:styleId="DefinitionTerm" w:customStyle="1">
    <w:name w:val="Definition Term"/>
    <w:basedOn w:val="Normln"/>
    <w:next w:val="Definition"/>
    <w:pPr>
      <w:keepNext w:val="1"/>
      <w:keepLines w:val="1"/>
      <w:spacing w:after="0"/>
    </w:pPr>
    <w:rPr>
      <w:b w:val="1"/>
    </w:rPr>
  </w:style>
  <w:style w:type="paragraph" w:styleId="Definition" w:customStyle="1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 w:val="1"/>
    </w:rPr>
  </w:style>
  <w:style w:type="paragraph" w:styleId="TableCaption" w:customStyle="1">
    <w:name w:val="Table Caption"/>
    <w:basedOn w:val="Titulek"/>
    <w:pPr>
      <w:keepNext w:val="1"/>
    </w:pPr>
  </w:style>
  <w:style w:type="paragraph" w:styleId="ImageCaption" w:customStyle="1">
    <w:name w:val="Image Caption"/>
    <w:basedOn w:val="Titulek"/>
  </w:style>
  <w:style w:type="paragraph" w:styleId="Figure" w:customStyle="1">
    <w:name w:val="Figure"/>
    <w:basedOn w:val="Normln"/>
  </w:style>
  <w:style w:type="paragraph" w:styleId="CaptionedFigure" w:customStyle="1">
    <w:name w:val="Captioned Figure"/>
    <w:basedOn w:val="Figure"/>
    <w:pPr>
      <w:keepNext w:val="1"/>
    </w:pPr>
  </w:style>
  <w:style w:type="character" w:styleId="TitulekChar" w:customStyle="1">
    <w:name w:val="Titulek Char"/>
    <w:basedOn w:val="Standardnpsmoodstavce"/>
    <w:link w:val="Titulek"/>
  </w:style>
  <w:style w:type="character" w:styleId="VerbatimChar" w:customStyle="1">
    <w:name w:val="Verbatim Char"/>
    <w:basedOn w:val="TitulekChar"/>
    <w:link w:val="SourceCode"/>
    <w:rPr>
      <w:rFonts w:ascii="Consolas" w:hAnsi="Consolas"/>
      <w:sz w:val="22"/>
    </w:rPr>
  </w:style>
  <w:style w:type="character" w:styleId="SectionNumber" w:customStyle="1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 w:val="1"/>
    <w:qFormat w:val="1"/>
    <w:pPr>
      <w:spacing w:before="240" w:line="259" w:lineRule="auto"/>
      <w:outlineLvl w:val="9"/>
    </w:pPr>
    <w:rPr>
      <w:color w:val="1d1d1b" w:themeColor="accent1" w:themeShade="0000BF"/>
    </w:rPr>
  </w:style>
  <w:style w:type="paragraph" w:styleId="SourceCode" w:customStyle="1">
    <w:name w:val="Source Code"/>
    <w:basedOn w:val="Normln"/>
    <w:link w:val="VerbatimChar"/>
    <w:pPr>
      <w:wordWrap w:val="0"/>
    </w:pPr>
  </w:style>
  <w:style w:type="character" w:styleId="KeywordTok" w:customStyle="1">
    <w:name w:val="KeywordTok"/>
    <w:basedOn w:val="VerbatimChar"/>
    <w:rPr>
      <w:rFonts w:ascii="Consolas" w:hAnsi="Consolas"/>
      <w:b w:val="1"/>
      <w:color w:val="007020"/>
      <w:sz w:val="22"/>
    </w:rPr>
  </w:style>
  <w:style w:type="character" w:styleId="DataTypeTok" w:customStyle="1">
    <w:name w:val="DataTypeTok"/>
    <w:basedOn w:val="VerbatimChar"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rPr>
      <w:rFonts w:ascii="Consolas" w:hAnsi="Consolas"/>
      <w:b w:val="1"/>
      <w:color w:val="008000"/>
      <w:sz w:val="22"/>
    </w:rPr>
  </w:style>
  <w:style w:type="character" w:styleId="CommentTok" w:customStyle="1">
    <w:name w:val="CommentTok"/>
    <w:basedOn w:val="VerbatimChar"/>
    <w:rPr>
      <w:rFonts w:ascii="Consolas" w:hAnsi="Consolas"/>
      <w:i w:val="1"/>
      <w:color w:val="60a0b0"/>
      <w:sz w:val="22"/>
    </w:rPr>
  </w:style>
  <w:style w:type="character" w:styleId="DocumentationTok" w:customStyle="1">
    <w:name w:val="DocumentationTok"/>
    <w:basedOn w:val="VerbatimChar"/>
    <w:rPr>
      <w:rFonts w:ascii="Consolas" w:hAnsi="Consolas"/>
      <w:i w:val="1"/>
      <w:color w:val="ba2121"/>
      <w:sz w:val="22"/>
    </w:rPr>
  </w:style>
  <w:style w:type="character" w:styleId="AnnotationTok" w:customStyle="1">
    <w:name w:val="Annotation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CommentVarTok" w:customStyle="1">
    <w:name w:val="CommentVar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OtherTok" w:customStyle="1">
    <w:name w:val="OtherTok"/>
    <w:basedOn w:val="VerbatimChar"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rPr>
      <w:rFonts w:ascii="Consolas" w:hAnsi="Consolas"/>
      <w:b w:val="1"/>
      <w:color w:val="007020"/>
      <w:sz w:val="22"/>
    </w:rPr>
  </w:style>
  <w:style w:type="character" w:styleId="OperatorTok" w:customStyle="1">
    <w:name w:val="OperatorTok"/>
    <w:basedOn w:val="VerbatimChar"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WarningTok" w:customStyle="1">
    <w:name w:val="Warning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AlertTok" w:customStyle="1">
    <w:name w:val="AlertTok"/>
    <w:basedOn w:val="VerbatimChar"/>
    <w:rPr>
      <w:rFonts w:ascii="Consolas" w:hAnsi="Consolas"/>
      <w:b w:val="1"/>
      <w:color w:val="ff0000"/>
      <w:sz w:val="22"/>
    </w:rPr>
  </w:style>
  <w:style w:type="character" w:styleId="ErrorTok" w:customStyle="1">
    <w:name w:val="ErrorTok"/>
    <w:basedOn w:val="VerbatimChar"/>
    <w:rPr>
      <w:rFonts w:ascii="Consolas" w:hAnsi="Consolas"/>
      <w:b w:val="1"/>
      <w:color w:val="ff0000"/>
      <w:sz w:val="22"/>
    </w:rPr>
  </w:style>
  <w:style w:type="character" w:styleId="NormalTok" w:customStyle="1">
    <w:name w:val="NormalTok"/>
    <w:basedOn w:val="VerbatimChar"/>
    <w:rPr>
      <w:rFonts w:ascii="Consolas" w:hAnsi="Consolas"/>
      <w:sz w:val="22"/>
    </w:rPr>
  </w:style>
  <w:style w:type="paragraph" w:styleId="Odstavecseseznamem">
    <w:name w:val="List Paragraph"/>
    <w:basedOn w:val="Normln"/>
    <w:rsid w:val="00F27FE5"/>
    <w:pPr>
      <w:ind w:left="720"/>
      <w:contextualSpacing w:val="1"/>
    </w:pPr>
  </w:style>
  <w:style w:type="paragraph" w:styleId="Subtitle">
    <w:name w:val="Subtitle"/>
    <w:basedOn w:val="Normal"/>
    <w:next w:val="Normal"/>
    <w:pPr>
      <w:spacing w:after="80" w:lineRule="auto"/>
      <w:jc w:val="center"/>
    </w:pPr>
    <w:rPr>
      <w:rFonts w:ascii="Poppins" w:cs="Poppins" w:eastAsia="Poppins" w:hAnsi="Poppins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60.0" w:type="dxa"/>
        <w:left w:w="108.0" w:type="dxa"/>
        <w:bottom w:w="60.0" w:type="dxa"/>
        <w:right w:w="108.0" w:type="dxa"/>
      </w:tblCellMar>
    </w:tblPr>
    <w:tblStylePr w:type="firstRow">
      <w:pPr>
        <w:jc w:val="left"/>
      </w:pPr>
      <w:rPr>
        <w:b w:val="1"/>
        <w:bCs w:val="1"/>
        <w:color w:val="1d1d1b"/>
      </w:rPr>
      <w:tcPr>
        <w:tcBorders>
          <w:bottom w:color="deded9" w:space="0" w:sz="4" w:val="single"/>
        </w:tcBorders>
        <w:shd w:fill="f2f2f0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D1D1B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Poppins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Poppin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POSJDprUDD//5LSLHFFgi8Mubg==">CgMxLjAyD2lkLjZzcXQxdmlobXQ0NTIPaWQueGM4cmtnN2Jyd3M4Mg9pZC4zY3hoYzI2aHNnZ2MyD2lkLmdhaG01dDJscW40cjIPaWQucWxlZHZreXlvaDFvMg9pZC5qNXpsNWx1c2F3dTcyD2lkLmtmMHkza292dXlnNTIPaWQucTdzbDdhMjAzc2J3Mg9pZC55dWF4eTQ5ZmQwYnEyD2lkLm91aThsaDU3aDR6bDIPaWQucnl6NDVxNTExemRpMg9pZC5oZ3ExbWRvNTU2d2E4AHIhMXV5US1ad012cE5nUUhkdE1IMjRESEZzQkdyTlprRV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2026-07-21T14:37:00Z</dcterms:created>
</cp:coreProperties>
</file>